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ՍԳԼ-ԷԱՃԱՊՁԲ-25/33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Սուրբ Գրիգոր Լուսավորիչ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Գյուրջյան 10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ЗАО «Медицинский центр Святого Григора Просветителя» опубликовано приглашение к участию в электронном аукционе под кодом «ՍԳԼ-ԷԱՃԱՊՁԲ-25/33» с целью приобретения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Համբարձումյան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a.hambardzumyan@keystone.am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091606942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Սուրբ Գրիգոր Լուսավորիչ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ՍԳԼ-ԷԱՃԱՊՁԲ-25/33</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Սուրբ Գրիգոր Լուսավորիչ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Սուրբ Գրիգոր Լուսավորիչ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ЗАО «Медицинский центр Святого Григора Просветителя» опубликовано приглашение к участию в электронном аукционе под кодом «ՍԳԼ-ԷԱՃԱՊՁԲ-25/33» с целью приобретения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ЗАО «Медицинский центр Святого Григора Просветителя» опубликовано приглашение к участию в электронном аукционе под кодом «ՍԳԼ-ԷԱՃԱՊՁԲ-25/33» с целью приобретения топлива.</w:t>
      </w:r>
      <w:r>
        <w:rPr>
          <w:rFonts w:ascii="Calibri" w:hAnsi="Calibri" w:cstheme="minorHAnsi"/>
          <w:b/>
          <w:lang w:val="ru-RU"/>
        </w:rPr>
        <w:t xml:space="preserve">ДЛЯ НУЖД  </w:t>
      </w:r>
      <w:r>
        <w:rPr>
          <w:rFonts w:ascii="Calibri" w:hAnsi="Calibri" w:cstheme="minorHAnsi"/>
          <w:b/>
          <w:sz w:val="24"/>
          <w:szCs w:val="24"/>
          <w:lang w:val="af-ZA"/>
        </w:rPr>
        <w:t>Սուրբ Գրիգոր Լուսավորիչ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ՍԳԼ-ԷԱՃԱՊՁԲ-25/33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a.hambardzumyan@keystone.am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ЗАО «Медицинский центр Святого Григора Просветителя» опубликовано приглашение к участию в электронном аукционе под кодом «ՍԳԼ-ԷԱՃԱՊՁԲ-25/33» с целью приобретения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штатный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w:t>
      </w:r>
      <w:r>
        <w:rPr>
          <w:rFonts w:ascii="Calibri" w:hAnsi="Calibri" w:cstheme="minorHAnsi"/>
          <w:szCs w:val="22"/>
        </w:rPr>
        <w:t xml:space="preserve"> драмом, российский рубль </w:t>
      </w:r>
      <w:r>
        <w:rPr>
          <w:rFonts w:ascii="Calibri" w:hAnsi="Calibri" w:cstheme="minorHAnsi"/>
          <w:lang w:val="af-ZA"/>
        </w:rPr>
        <w:t>4.7857</w:t>
      </w:r>
      <w:r>
        <w:rPr>
          <w:rFonts w:ascii="Calibri" w:hAnsi="Calibri" w:cstheme="minorHAnsi"/>
          <w:szCs w:val="22"/>
        </w:rPr>
        <w:t xml:space="preserve"> драмом, евро </w:t>
      </w:r>
      <w:r>
        <w:rPr>
          <w:rFonts w:ascii="Calibri" w:hAnsi="Calibri" w:cstheme="minorHAnsi"/>
          <w:lang w:val="af-ZA"/>
        </w:rPr>
        <w:t>444.61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ՍԳԼ-ԷԱՃԱՊՁԲ-25/33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ՍԳԼ-ԷԱՃԱՊՁԲ-25/33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штатный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чисто-прозрачный, октановое число определенное исследовательским методом - не менее 91, двигательным методом - не менее 81, давление паров бензина от 45 до 100 кПа, содержание свинца не более 5 мг / дм3, объемная доля бензола. Не более 1%, плотность при 15 0С - от 720 до 775 кг / м3, содержание серы не более 10 мг / кг, массовая доля кислорода не более 2,7%, объемная доля окислителей. , не более метанола-3%, этанола-5%, изопропилового спирта -10%, изобутилового спирта -10%, терабутилового спирта -7%, простых эфиров (C5 более) -15%, других окислителей -10%. Безопасность, маркировка согласно «Техническому регламенту топлива для двигателей внутреннего сгорания», утвержденному постановлением Правительства РА № 1592-Н от 11 ноября 2004 года. Доставка: купон.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Цетановое число не менее 49, цетановый индекс не менее 46, плотность при температуре 150 ° С от 800 до 845 кг / м3. Массовая доля полициклических ароматических углеводородов - не более 11%. Содержание серы не более 10 мг / кг. Температура воспламенения не ниже 550 С, остаток углерода в 10% осадке не более 0,3%. Вязкость при 400 С - от 1,5 до 4,0 мм2 / с. Температура мутности не выше минус 100С. Безопасность, маркировка և упаковка согласно Правительству РА 2004 г. «Технический регламент на топлива для двигателей внутреннего сгорания», утвержденный постановлением № 1592-Н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штатный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