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95" w:rsidRPr="008B6895" w:rsidRDefault="00E77779" w:rsidP="008B689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46FD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6895" w:rsidRPr="00146FD1">
        <w:rPr>
          <w:rFonts w:ascii="GHEA Grapalat" w:hAnsi="GHEA Grapalat"/>
          <w:b/>
          <w:sz w:val="20"/>
          <w:szCs w:val="20"/>
          <w:lang w:val="hy-AM"/>
        </w:rPr>
        <w:t>«</w:t>
      </w:r>
      <w:r w:rsidR="008B6895" w:rsidRPr="00804073">
        <w:rPr>
          <w:rFonts w:ascii="GHEA Grapalat" w:hAnsi="GHEA Grapalat" w:cs="Sylfaen"/>
          <w:b/>
          <w:lang w:val="af-ZA"/>
        </w:rPr>
        <w:t>ԿՄՀՔ-ԷԱՃԾՁԲ-25/26</w:t>
      </w:r>
      <w:r w:rsidR="008B6895" w:rsidRPr="00146FD1">
        <w:rPr>
          <w:rFonts w:ascii="GHEA Grapalat" w:hAnsi="GHEA Grapalat"/>
          <w:b/>
          <w:sz w:val="20"/>
          <w:szCs w:val="20"/>
          <w:lang w:val="hy-AM"/>
        </w:rPr>
        <w:t>»</w:t>
      </w:r>
      <w:r w:rsidR="008B6895" w:rsidRPr="008B6895">
        <w:rPr>
          <w:rFonts w:ascii="GHEA Grapalat" w:hAnsi="GHEA Grapalat"/>
          <w:b/>
          <w:sz w:val="20"/>
          <w:szCs w:val="20"/>
          <w:lang w:val="hy-AM"/>
        </w:rPr>
        <w:t xml:space="preserve"> ԾԱԾԿԱԳՐՈՎ</w:t>
      </w:r>
      <w:r w:rsidR="008B6895">
        <w:rPr>
          <w:rFonts w:ascii="GHEA Grapalat" w:hAnsi="GHEA Grapalat"/>
          <w:b/>
          <w:caps/>
          <w:sz w:val="20"/>
          <w:szCs w:val="20"/>
          <w:lang w:val="hy-AM"/>
        </w:rPr>
        <w:t xml:space="preserve"> </w:t>
      </w:r>
      <w:r w:rsidR="001C1D76">
        <w:rPr>
          <w:rFonts w:ascii="GHEA Grapalat" w:hAnsi="GHEA Grapalat"/>
          <w:b/>
          <w:caps/>
          <w:sz w:val="20"/>
          <w:szCs w:val="20"/>
          <w:lang w:val="hy-AM"/>
        </w:rPr>
        <w:t>Ներքին աուդիտի</w:t>
      </w:r>
      <w:r w:rsidR="001C1D76" w:rsidRPr="008B6895">
        <w:rPr>
          <w:rFonts w:ascii="GHEA Grapalat" w:hAnsi="GHEA Grapalat"/>
          <w:b/>
          <w:caps/>
          <w:sz w:val="20"/>
          <w:szCs w:val="20"/>
          <w:lang w:val="hy-AM"/>
        </w:rPr>
        <w:t xml:space="preserve"> </w:t>
      </w:r>
      <w:r w:rsidR="00146FD1" w:rsidRPr="00146FD1">
        <w:rPr>
          <w:rFonts w:ascii="GHEA Grapalat" w:hAnsi="GHEA Grapalat"/>
          <w:b/>
          <w:caps/>
          <w:sz w:val="20"/>
          <w:szCs w:val="20"/>
          <w:lang w:val="hy-AM"/>
        </w:rPr>
        <w:t xml:space="preserve">ծառայությունների </w:t>
      </w:r>
    </w:p>
    <w:p w:rsidR="00146FD1" w:rsidRPr="00E77779" w:rsidRDefault="00146FD1" w:rsidP="008B6895">
      <w:pPr>
        <w:jc w:val="center"/>
        <w:rPr>
          <w:rFonts w:ascii="GHEA Grapalat" w:hAnsi="GHEA Grapalat"/>
          <w:b/>
          <w:sz w:val="20"/>
          <w:szCs w:val="20"/>
          <w:highlight w:val="yellow"/>
        </w:rPr>
      </w:pPr>
      <w:r w:rsidRPr="00146FD1">
        <w:rPr>
          <w:rFonts w:ascii="GHEA Grapalat" w:hAnsi="GHEA Grapalat"/>
          <w:b/>
          <w:sz w:val="20"/>
          <w:szCs w:val="20"/>
          <w:lang w:val="hy-AM"/>
        </w:rPr>
        <w:t xml:space="preserve">ՁԵՌՔԲԵՐՄԱՆ </w:t>
      </w:r>
      <w:r w:rsidR="00E77779">
        <w:rPr>
          <w:rFonts w:ascii="GHEA Grapalat" w:hAnsi="GHEA Grapalat"/>
          <w:b/>
          <w:sz w:val="20"/>
          <w:szCs w:val="20"/>
        </w:rPr>
        <w:t>ՏԵԽՆԻԿԱԿԱՆ ԲՆՈՒԹԱԳԻՐ</w:t>
      </w:r>
    </w:p>
    <w:p w:rsidR="00146FD1" w:rsidRPr="008B6895" w:rsidRDefault="00146FD1" w:rsidP="00146FD1">
      <w:pPr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558"/>
        <w:gridCol w:w="2246"/>
        <w:gridCol w:w="1494"/>
        <w:gridCol w:w="992"/>
        <w:gridCol w:w="1395"/>
        <w:gridCol w:w="947"/>
        <w:gridCol w:w="1462"/>
      </w:tblGrid>
      <w:tr w:rsidR="001C1D76" w:rsidRPr="001C1D76" w:rsidTr="00CF4109">
        <w:tc>
          <w:tcPr>
            <w:tcW w:w="5000" w:type="pct"/>
            <w:gridSpan w:val="8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Ծառայության</w:t>
            </w:r>
            <w:proofErr w:type="spellEnd"/>
          </w:p>
        </w:tc>
      </w:tr>
      <w:tr w:rsidR="001C1D76" w:rsidRPr="001C1D76" w:rsidTr="00804073">
        <w:trPr>
          <w:trHeight w:val="1976"/>
        </w:trPr>
        <w:tc>
          <w:tcPr>
            <w:tcW w:w="492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հրավերով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չափաբաժնի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696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100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667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44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62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42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1C1D7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65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մատուցման</w:t>
            </w:r>
            <w:proofErr w:type="spellEnd"/>
          </w:p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C1D76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</w:tr>
      <w:tr w:rsidR="001C1D76" w:rsidRPr="00E77779" w:rsidTr="00804073">
        <w:trPr>
          <w:trHeight w:val="246"/>
        </w:trPr>
        <w:tc>
          <w:tcPr>
            <w:tcW w:w="492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1D7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696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4073">
              <w:rPr>
                <w:rFonts w:ascii="GHEA Grapalat" w:hAnsi="GHEA Grapalat"/>
                <w:color w:val="000000"/>
                <w:sz w:val="18"/>
                <w:szCs w:val="18"/>
              </w:rPr>
              <w:t>79211180</w:t>
            </w:r>
          </w:p>
        </w:tc>
        <w:tc>
          <w:tcPr>
            <w:tcW w:w="1003" w:type="pct"/>
            <w:vAlign w:val="center"/>
          </w:tcPr>
          <w:p w:rsidR="001C1D76" w:rsidRPr="001C1D76" w:rsidRDefault="001C1D76" w:rsidP="001C1D76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804073"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Ներքին</w:t>
            </w:r>
            <w:proofErr w:type="spellEnd"/>
            <w:r w:rsidRPr="00804073"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աուդիտի</w:t>
            </w:r>
            <w:proofErr w:type="spellEnd"/>
            <w:r w:rsidRPr="00804073"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ծառայություն</w:t>
            </w:r>
            <w:proofErr w:type="spellEnd"/>
          </w:p>
        </w:tc>
        <w:tc>
          <w:tcPr>
            <w:tcW w:w="667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1D76">
              <w:rPr>
                <w:rFonts w:ascii="GHEA Grapalat" w:hAnsi="GHEA Grapalat"/>
                <w:sz w:val="18"/>
                <w:szCs w:val="18"/>
                <w:lang w:val="hy-AM"/>
              </w:rPr>
              <w:t>Ներկայացվում է ստորև</w:t>
            </w:r>
          </w:p>
        </w:tc>
        <w:tc>
          <w:tcPr>
            <w:tcW w:w="44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1D76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62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04073"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  <w:r w:rsidR="008B6895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804073">
              <w:rPr>
                <w:rFonts w:ascii="GHEA Grapalat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1D7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653" w:type="pct"/>
            <w:vAlign w:val="center"/>
          </w:tcPr>
          <w:p w:rsidR="001C1D76" w:rsidRPr="001C1D76" w:rsidRDefault="001C1D76" w:rsidP="001C1D7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1D76">
              <w:rPr>
                <w:rFonts w:ascii="GHEA Grapalat" w:hAnsi="GHEA Grapalat"/>
                <w:sz w:val="18"/>
                <w:szCs w:val="18"/>
                <w:lang w:val="hy-AM"/>
              </w:rPr>
              <w:t>ՀՀ ք. Հրազդան, Սահմանադրության հրապարակ, 1 վարչական շենք</w:t>
            </w:r>
          </w:p>
        </w:tc>
      </w:tr>
    </w:tbl>
    <w:p w:rsidR="001C1D76" w:rsidRPr="008B6895" w:rsidRDefault="001C1D76" w:rsidP="00146FD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1E6287" w:rsidRPr="001C1D76" w:rsidRDefault="001E6287" w:rsidP="00804073">
      <w:pPr>
        <w:ind w:left="-180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Հրազդանի   համայնքապետարանի</w:t>
      </w:r>
    </w:p>
    <w:p w:rsidR="001E6287" w:rsidRPr="001C1D76" w:rsidRDefault="001E6287" w:rsidP="00804073">
      <w:pPr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ներքին աուդիտի ծառայության գնման հայտում ներառվող՝ ծառայության բնութագրին և մասնակիցների որակավորման չափանիշներին ներկայացվող պահանջներ</w:t>
      </w:r>
    </w:p>
    <w:p w:rsidR="001E6287" w:rsidRPr="008B6895" w:rsidRDefault="001E6287" w:rsidP="00804073">
      <w:pPr>
        <w:ind w:firstLine="567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ծառայության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շրջանակը</w:t>
      </w:r>
    </w:p>
    <w:p w:rsidR="00804073" w:rsidRPr="008B6895" w:rsidRDefault="00804073" w:rsidP="00804073">
      <w:pPr>
        <w:ind w:firstLine="567"/>
        <w:jc w:val="center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ծառայությունների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մատուցման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նպատակով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հրավիրված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անձը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(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այսուհետ՝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)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գնահատի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ՀՀ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հանրային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հատվածի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(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այսուհետ՝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կազմակերպություն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)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միջավայրը՝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ֆինանսական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կառավարման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հսկողության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հետ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կապված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գործառույթները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,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առաջարկների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ներկայացման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միջոցով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օժանդակի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ղեկավարությանը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ձեռնարկել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միջոցառումներ՝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նպատակներին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հասնելու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դրանում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հնարավոր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ռիսկերը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կառավարելու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համար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Նախկինում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աուդիտորական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աշխատանքերի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արդյունքները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ընդունվեն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գիտություն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հաշվի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առնվեն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հետագա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աշխատանքներում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վերջինիս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կողմից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մատուցվող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ծառայության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նկատմամբ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ներկայացվող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ընդհանուր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պահանջներ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անկախությունը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)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հաշվետու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լինի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ղեկավարին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(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այսուհետ՝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ղեկավար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)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կոմիտեին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)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ab/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կոմիտեի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քարտուղարի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պարտականությունները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)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ab/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չի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կարող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իրականացնել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կառավարման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որևէ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գործառույթ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,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բացի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գործունեության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կառավարման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գործառույթներից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դ)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Կատարողը պետք է իրականացնի կազմակերպության ներքին աուդիտի միջավայրի ուսումնասիրություն և գնահատում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Ձեռքբերվող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ծառայության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նկարագիրը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.</w:t>
      </w:r>
    </w:p>
    <w:p w:rsidR="001E6287" w:rsidRPr="001C1D76" w:rsidRDefault="001E6287" w:rsidP="001C1D76">
      <w:pPr>
        <w:pStyle w:val="a3"/>
        <w:numPr>
          <w:ilvl w:val="0"/>
          <w:numId w:val="2"/>
        </w:numPr>
        <w:autoSpaceDN w:val="0"/>
        <w:ind w:left="0" w:firstLine="567"/>
        <w:contextualSpacing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պարտավոր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Պայմանագրի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ուժի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մեջ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մտնելու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օրվանից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ձեռնարկի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օրենսդրությամբ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սահմանված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բոլոր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գործողությունների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կատարումը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այնպիսի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ժամկետներում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,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որպեսզի՝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20</w:t>
      </w:r>
      <w:r w:rsidR="003C5C55"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25</w:t>
      </w:r>
      <w:r w:rsidR="00915C9F"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թվականն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ընգրկող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ժամանակահատվածից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սկսած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մինչև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պայմանագրի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գործողության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ժամկետի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ավարտը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ապահովի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սույն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տեխնիկական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բնութագրով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օրենսդրությամբ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սահմանված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ծառայությունների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մատուցումը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2) Սույն բաժնի 1-ին կետով սահմանված պարտականության կատարման նպատակով Կատարողը պարտավոր է.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1E6287" w:rsidRPr="001C1D76" w:rsidRDefault="005E20AC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կազմել ռազմավարական և տարեկան ծրագրերը՝ կազմակերպության ռիսկերի գնահատման, ինչպես նաև ղեկավարի կողմից մատնանշված խնդիրների հիման վրա.</w:t>
      </w:r>
    </w:p>
    <w:p w:rsidR="001E6287" w:rsidRPr="001C1D76" w:rsidRDefault="005E20AC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բ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իրականացնել արդյունավետ ներքին աուդիտ՝ գնահատելով ֆինանսական կառավարման, հսկողության համակարգերի արդյունավետությունը և համապատասխանությունը հետևյալ պայմաններին`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 ղեկավարության կողմից ռիսկերի բացահայտում, գնահատում և կառավարում,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օրենսդրությանը և կազմակերպության գործունեությանն առնչվող այլ պայմաններին (պայմանագրերին, գերատեսչական նորմատիվ ակտերին և այլնին) համապատասխանություն,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տնտեսող, արդյունավետ և օգտավետ գործառույթներ,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տեղեկությունների վստահելիություն և ամբողջականություն,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առաջադրանքների կատարում և նպատակների իրագործում:</w:t>
      </w:r>
    </w:p>
    <w:p w:rsidR="001E6287" w:rsidRPr="001C1D76" w:rsidRDefault="00F705BC" w:rsidP="001C1D76">
      <w:pPr>
        <w:ind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</w:rPr>
        <w:t>գ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>) տրամադրել.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հավաստիացում առ այն, որ կազմակերպությունում առկա կառավարչական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հաստատում առ այն, որ ներդրված ներքին հսկողական համակարգերը գործում են/չեն գործում արդյունավետ կերպով.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հաստատում առ այն, որ ղեկավարը կազմակերպության այլ պաշտոնատար անձանցից ստանում է/չի ստանում/մասամբ է ստանում պատշաճ որակի և հուսալի տեղեկատվություն.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շտկմանը,</w:t>
      </w:r>
    </w:p>
    <w:p w:rsidR="001E6287" w:rsidRPr="001C1D76" w:rsidRDefault="00F705BC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705BC">
        <w:rPr>
          <w:rFonts w:ascii="GHEA Grapalat" w:hAnsi="GHEA Grapalat" w:cs="Sylfaen"/>
          <w:noProof/>
          <w:sz w:val="20"/>
          <w:szCs w:val="20"/>
          <w:lang w:val="hy-AM"/>
        </w:rPr>
        <w:t>դ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կազմել և ղեկավարին ու ներքին աուդիտի կոմիտեին ներկայացնել ներքին աուդիտի մասին օրենսդրությամբ նախատեսված հաշվետվությունները.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իրականացված աուդիտորական առաջադրանքների արդյունքների վերաբերյալ պարբերական հաշվետվություններ.</w:t>
      </w:r>
    </w:p>
    <w:p w:rsidR="001E6287" w:rsidRPr="001C1D76" w:rsidRDefault="001E6287" w:rsidP="001C1D76">
      <w:pPr>
        <w:numPr>
          <w:ilvl w:val="0"/>
          <w:numId w:val="3"/>
        </w:numPr>
        <w:ind w:left="0" w:firstLine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ներքին աուդիտի գործունեության արդյունքների վերաբերյալ տարեկան հաշվետվություն. </w:t>
      </w:r>
    </w:p>
    <w:p w:rsidR="001E6287" w:rsidRPr="001C1D76" w:rsidRDefault="00F705BC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705BC">
        <w:rPr>
          <w:rFonts w:ascii="GHEA Grapalat" w:hAnsi="GHEA Grapalat" w:cs="Sylfaen"/>
          <w:noProof/>
          <w:sz w:val="20"/>
          <w:szCs w:val="20"/>
          <w:lang w:val="hy-AM"/>
        </w:rPr>
        <w:t>ե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իրականացնել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նպատակով։ Կատարողը 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:rsidR="001E6287" w:rsidRPr="001C1D76" w:rsidRDefault="00F705BC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</w:rPr>
        <w:t>զ</w:t>
      </w:r>
      <w:bookmarkStart w:id="0" w:name="_GoBack"/>
      <w:bookmarkEnd w:id="0"/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1E6287"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կազմակերպել աշխատանքային փաստաթղթերի պատշաճ փաստաթղթավորում և պահպանում:</w:t>
      </w:r>
    </w:p>
    <w:p w:rsidR="001E6287" w:rsidRPr="001C1D76" w:rsidRDefault="001E6287" w:rsidP="001C1D76">
      <w:pPr>
        <w:numPr>
          <w:ilvl w:val="0"/>
          <w:numId w:val="4"/>
        </w:numPr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համագործակցությունը այլ ներքին և արտաքին հավաստիացումներ տրամադրողների հետ.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Կատարողը 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ղեկավարի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հետ՝ նրանց աջակցելու և համապատասխան տեղեկատվություն տրամադրելու նպատակով:</w:t>
      </w:r>
    </w:p>
    <w:p w:rsidR="001E6287" w:rsidRPr="001C1D76" w:rsidRDefault="001E6287" w:rsidP="001C1D76">
      <w:pPr>
        <w:numPr>
          <w:ilvl w:val="0"/>
          <w:numId w:val="4"/>
        </w:numPr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Լիազոր մարմնին տրամադրվող տեղեկատվություն.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Կատարողը ՀՀ ֆինանսների նախարարությանը՝ որպես 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«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օրենքով սահմանված լիազոր մարմին (այսուհետ՝ Լիազոր մարմին) պետք է տրամադրի ներքին աուդիտի մասին ՀՀ օրենսդրությամբ նախատեսված հետևյալ տեղեկատվությունը.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«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ՀՀ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գ)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դ)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հաջորդող տարվա տարեկան ծրագիրը ՝ մինչև տվյալ տարվա դեկտեմբերի 1-ը.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ե)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հաշվետվություն՝ ՀՀ ֆինանսների նախարարի 2012 թվականի փետրվարի 17-ի  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զ)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ներքին աուդիտի տարեկան ամփոփ հաշվետվություն՝ մինչև հաջորդ տարվա մարտի 1-ը.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կազմակերպության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ը)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:rsidR="001E6287" w:rsidRPr="001C1D76" w:rsidRDefault="001E6287" w:rsidP="001C1D76">
      <w:pPr>
        <w:numPr>
          <w:ilvl w:val="0"/>
          <w:numId w:val="1"/>
        </w:numPr>
        <w:ind w:left="0" w:firstLine="567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ծառայությունը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մատուցող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Կատարողի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նկատմամբ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ընդհանուր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պահանջներ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Կատարողը 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ընդգրկված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լինի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Լիազոր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մարմնի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կողմից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վարվող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հանրային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հատվածում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իրականացնելու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որակավորում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ունեցող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կազմակերպությունների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ցանկում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(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այսուհետ՝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ցանկ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)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Կատարողի՝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սույն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տեխնիկական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բնութագրով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նախատեսված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ծառայությունների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մատուցման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ներգրավված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աուդիտորները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համատեղությամբ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չաշխատեն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և 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/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արտաքին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ծառայություններ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մատուցող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այլ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կազմակերպություններում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,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այլ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կազմակերպություններում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աշխատեն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որպես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աուդիտոր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: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տարեկան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ծրագիրը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կազմելուց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անհրաժեշտ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մարդկային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ռեսուրսները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հաշվարկելուց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հետո՝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,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անհրաժեշտության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դեպքում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,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կարող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ներգրավել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լրացուցիչ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աշխատանքային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ռեսուրսներ՝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համաձայնեցնելով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Պատվիրատուի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հետ։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Նշվածի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Ï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ատարողը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ունենա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օրենսդրությամբ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սահմանված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կարգով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հաշվարկված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բավարար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քանակությամբ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մարդկային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ռեսուրսներ՝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հանրային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հատվածի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միջավայրի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տարրերի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ռիսկերի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գնահատման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արդյունքներով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կազմված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ռազմավարական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տարեկան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ծրագրերը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պատշաճ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կերպով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իրականացնելու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համար։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Կատարողը 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աշխատանքները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պետք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կատարի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ՀՀ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օրենսդրության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պահանջներին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ՀՀ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մասնագիտական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գործունեության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ստանդարտներին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համապատասխան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պահպանի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աուդիտորի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վարքագծի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կանոնները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numPr>
          <w:ilvl w:val="0"/>
          <w:numId w:val="1"/>
        </w:numPr>
        <w:ind w:left="0" w:firstLine="567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Ծառայության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գնման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ժամանակացույցը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</w:p>
    <w:p w:rsidR="00915C9F" w:rsidRPr="001C1D76" w:rsidRDefault="001E6287" w:rsidP="001C1D76">
      <w:pPr>
        <w:ind w:left="90" w:firstLine="540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Ծառայության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մատուցումն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իրականացվում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պայմանագիրն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ուժի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մեջ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մտնելու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օրվանից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մինչև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20</w:t>
      </w:r>
      <w:r w:rsidR="00915C9F"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2</w:t>
      </w:r>
      <w:r w:rsidR="003C5C55"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6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թվականի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 xml:space="preserve"> </w:t>
      </w:r>
      <w:r w:rsidR="005E20AC" w:rsidRPr="001C1D76">
        <w:rPr>
          <w:rFonts w:ascii="GHEA Grapalat" w:hAnsi="GHEA Grapalat" w:cs="Arial"/>
          <w:noProof/>
          <w:sz w:val="20"/>
          <w:szCs w:val="20"/>
          <w:lang w:val="hy-AM"/>
        </w:rPr>
        <w:t>հունվարի 30</w:t>
      </w:r>
      <w:r w:rsidR="00915C9F" w:rsidRPr="001C1D76">
        <w:rPr>
          <w:rFonts w:ascii="GHEA Grapalat" w:hAnsi="GHEA Grapalat" w:cs="Arial"/>
          <w:noProof/>
          <w:sz w:val="20"/>
          <w:szCs w:val="20"/>
          <w:lang w:val="hy-AM"/>
        </w:rPr>
        <w:t>-ը։</w:t>
      </w:r>
    </w:p>
    <w:p w:rsidR="001E6287" w:rsidRPr="001C1D76" w:rsidRDefault="001E6287" w:rsidP="001C1D76">
      <w:pPr>
        <w:ind w:left="90" w:firstLine="540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Ծառայության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ընդունման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և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վճարման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ժամանակացույցը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</w:p>
    <w:p w:rsidR="001E6287" w:rsidRPr="001C1D76" w:rsidRDefault="001E6287" w:rsidP="001C1D76">
      <w:pPr>
        <w:ind w:left="90" w:firstLine="63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Պայմանագրի կատարումն ընդունելու նպատակով յուրաքանչյուր հանձնման-ընդունման արձանագրության հետ մեկտեղ Կատարողը ներկայացնում է հաշվետվություն հաշվետու ժամանակահատվածում մատուցված ծառայության մասին՝ նշելով ծառայություն մատուցողի անունը, ծառայության բնույթը, բովանդակությունը և դրա փաստաթղթավորված արդյունքը, ինչպես նաև իր կողմից հաստատած գրավոր հավաստում, որ ծառայությունը մատուցվել է գնման ընթացակարգին մասնակցելու շրջանակում հրավերով նախատեսված 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«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Աշխատանքային ռեսուրսներ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որակավորման չափանիշի գնահատման նպատակով ներկայացված մասնագետների կողմից` կցելով նաև վերջիններիս կողմից հաստատված ինքնակենսագրությունները:</w:t>
      </w:r>
    </w:p>
    <w:p w:rsidR="001E6287" w:rsidRPr="001C1D76" w:rsidRDefault="001E6287" w:rsidP="001C1D76">
      <w:pPr>
        <w:ind w:left="90" w:firstLine="63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Վճարումն իրականացվում է պայմանագրով սահմանված վճարման ժամանակացույցով նախատեսված ամիսներին` հաշվետու ժամանակահատվածի համար ներքին աուդիտի տարեկան ծրագրով նախատեսված աուդիտորական առաջադրանքների կատարման՝ դրանց վերաբերյալ ներկայացված հաշվետվությունների առկայության և Պատվիրատուի կողմից տրված դրական եզրակացության դեպքում (եզրակացությունը ստորագրվում է և հանձնման- ընդունման աևձանագրությունը Մասնակցին ներկայացվում է 7 աշխատանքային օրվա ընթացքում)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numPr>
          <w:ilvl w:val="0"/>
          <w:numId w:val="5"/>
        </w:numPr>
        <w:ind w:left="90" w:firstLine="63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20</w:t>
      </w:r>
      <w:r w:rsidR="005E20AC" w:rsidRPr="001C1D76">
        <w:rPr>
          <w:rFonts w:ascii="GHEA Grapalat" w:hAnsi="GHEA Grapalat" w:cs="Sylfaen"/>
          <w:noProof/>
          <w:sz w:val="20"/>
          <w:szCs w:val="20"/>
          <w:lang w:val="hy-AM"/>
        </w:rPr>
        <w:t>25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թվականի հունվարի 1-ից մինչև պայմանագրի գործողության ավարտը յուրաքանչյուր եռամսյակը, ընդ որում չորրորդ եռամսյակի հաշվետվությունները ներկայացվում են մինչև տվյալ տարվա դեկտեմբերի 10-ը, իսկ պայմանագրի գործողության ընթացքում վերջին ժամանակահատվածը ժամկետի լրանալուց 15 աշխատանքային օր առաջ:</w:t>
      </w:r>
    </w:p>
    <w:p w:rsidR="001E6287" w:rsidRPr="001C1D76" w:rsidRDefault="001E6287" w:rsidP="001C1D76">
      <w:pPr>
        <w:pStyle w:val="a3"/>
        <w:numPr>
          <w:ilvl w:val="0"/>
          <w:numId w:val="1"/>
        </w:numPr>
        <w:autoSpaceDN w:val="0"/>
        <w:contextualSpacing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«Աշխատանքային ռեսուրսներ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որակավորման չափանիշին ներկայացվող պահանջներ.</w:t>
      </w:r>
    </w:p>
    <w:p w:rsidR="001E6287" w:rsidRPr="001C1D76" w:rsidRDefault="001E6287" w:rsidP="001C1D76">
      <w:pPr>
        <w:numPr>
          <w:ilvl w:val="0"/>
          <w:numId w:val="6"/>
        </w:numPr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Մասնակիցը հայտով ներկայացնում է հայտարարություն այն մասին, որ ունի կնքվելիք պայմանագրի կատարման համար անհրաժեշտ աշխատանքային ռեսուրսներ: Ընդ որում, պայմանագրի կատարման համար պահանջվող աշխատանքային ռեսուրսների նվազագույն պահանջներն են` </w:t>
      </w:r>
    </w:p>
    <w:p w:rsidR="001E6287" w:rsidRPr="001C1D76" w:rsidRDefault="001E6287" w:rsidP="001C1D76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 xml:space="preserve">նվազագույնը 3 ներքին աուդիտոր, որոնք պետք է ունենան հանրային հատվածի ներքին աուդիտորի որակավորում և աուդիտորի մասնագիտական գործունեության առնվազն 3 տարվա աշխատանքային փորձ: 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համաձայնությունների` իրականացվելիք աշխատանքներում վերջիններիս ներգրավվելու մասին, ինչպես նաև մասնագետների անձնագրերի և որակավորումը հավաստող փաստաթղթերի (դիպլոմ, վկայագիր, հավաստագիր, ինքնակենսագրություն (CV)), աշխատանքային պայմանագրերի և նմանատիպ աշխատանքների կատարումը հավաստող այլ փաստաթղթերի պատճեններ, ինչպես նաև համապատասխան գործատուի մոտ կատարած աշխատանքները հավաստող գործատու(ներ)ի ղեկավարի կողմից ստորագրված երաշխավոր(ներ)ի նամակ(ներ) և ստորագրված գրավոր հայտարարություն՝ 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«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մասին</w:t>
      </w:r>
      <w:r w:rsidRPr="001C1D76">
        <w:rPr>
          <w:rFonts w:ascii="GHEA Grapalat" w:hAnsi="GHEA Grapalat" w:cs="Arial"/>
          <w:noProof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ՀՀ օրենքի 9-րդ հոդվածի 4-րդ մասով նախատեսված սահմանափակումների բացակության մասին</w:t>
      </w:r>
      <w:r w:rsidRPr="001C1D76">
        <w:rPr>
          <w:rFonts w:ascii="GHEA Grapalat" w:hAnsi="GHEA Grapalat" w:cs="Tahoma"/>
          <w:noProof/>
          <w:sz w:val="20"/>
          <w:szCs w:val="20"/>
          <w:lang w:val="hy-AM"/>
        </w:rPr>
        <w:t>։</w:t>
      </w:r>
    </w:p>
    <w:p w:rsidR="001E6287" w:rsidRPr="001C1D76" w:rsidRDefault="001E6287" w:rsidP="001C1D76">
      <w:pPr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5. &lt;&lt;Տեխնիկական միջոցներ&gt;&gt; որակավորման չափանիշին ներկայացվող պահանջ. </w:t>
      </w:r>
    </w:p>
    <w:p w:rsidR="001E6287" w:rsidRPr="001C1D76" w:rsidRDefault="001E6287" w:rsidP="001C1D76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մասին.</w:t>
      </w:r>
    </w:p>
    <w:p w:rsidR="001E6287" w:rsidRPr="001C1D76" w:rsidRDefault="001E6287" w:rsidP="001C1D76">
      <w:pPr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   </w:t>
      </w:r>
      <w:r w:rsidR="000511BD"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6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.«Ֆինանսական միջոցներ</w:t>
      </w:r>
      <w:r w:rsidRPr="001C1D76">
        <w:rPr>
          <w:rFonts w:ascii="GHEA Grapalat" w:hAnsi="GHEA Grapalat" w:cs="Arial"/>
          <w:b/>
          <w:noProof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որակավորման չափանիշին ներկայացվող պահանջ.</w:t>
      </w:r>
    </w:p>
    <w:p w:rsidR="001E6287" w:rsidRPr="001C1D76" w:rsidRDefault="001E6287" w:rsidP="001C1D76">
      <w:pPr>
        <w:pStyle w:val="norm"/>
        <w:spacing w:line="240" w:lineRule="auto"/>
        <w:ind w:firstLine="567"/>
        <w:rPr>
          <w:rFonts w:ascii="GHEA Grapalat" w:hAnsi="GHEA Grapalat" w:cs="Sylfaen"/>
          <w:noProof/>
          <w:sz w:val="20"/>
          <w:lang w:val="hy-AM" w:eastAsia="en-US"/>
        </w:rPr>
      </w:pPr>
      <w:r w:rsidRPr="001C1D76">
        <w:rPr>
          <w:rFonts w:ascii="GHEA Grapalat" w:hAnsi="GHEA Grapalat" w:cs="Sylfaen"/>
          <w:noProof/>
          <w:sz w:val="20"/>
          <w:lang w:val="hy-AM" w:eastAsia="en-US"/>
        </w:rPr>
        <w:t>ա. Հայաստանի Հանրապետության ռեզիդենտ հանդիսացող մասնակցի, բացառությամբ անհատ ձեռնարկատեր չհանդիսացող ֆիզիկական անձի,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առաջարկից.</w:t>
      </w:r>
    </w:p>
    <w:p w:rsidR="001E6287" w:rsidRPr="001C1D76" w:rsidRDefault="001E6287" w:rsidP="001C1D76">
      <w:pPr>
        <w:pStyle w:val="norm"/>
        <w:spacing w:line="240" w:lineRule="auto"/>
        <w:ind w:firstLine="0"/>
        <w:rPr>
          <w:rFonts w:ascii="GHEA Grapalat" w:hAnsi="GHEA Grapalat" w:cs="Sylfaen"/>
          <w:noProof/>
          <w:sz w:val="20"/>
          <w:lang w:val="hy-AM" w:eastAsia="en-US"/>
        </w:rPr>
      </w:pPr>
      <w:r w:rsidRPr="001C1D76">
        <w:rPr>
          <w:rFonts w:ascii="GHEA Grapalat" w:hAnsi="GHEA Grapalat" w:cs="Sylfaen"/>
          <w:noProof/>
          <w:sz w:val="20"/>
          <w:lang w:val="hy-AM" w:eastAsia="en-US"/>
        </w:rPr>
        <w:t xml:space="preserve">բ. սույն ենթակետի ա)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</w:t>
      </w:r>
    </w:p>
    <w:p w:rsidR="001E6287" w:rsidRPr="001C1D76" w:rsidRDefault="001E6287" w:rsidP="001C1D76">
      <w:pPr>
        <w:pStyle w:val="norm"/>
        <w:spacing w:line="240" w:lineRule="auto"/>
        <w:ind w:firstLine="567"/>
        <w:rPr>
          <w:rFonts w:ascii="GHEA Grapalat" w:hAnsi="GHEA Grapalat" w:cs="Sylfaen"/>
          <w:noProof/>
          <w:sz w:val="20"/>
          <w:lang w:val="hy-AM" w:eastAsia="en-US"/>
        </w:rPr>
      </w:pPr>
      <w:r w:rsidRPr="001C1D76">
        <w:rPr>
          <w:rFonts w:ascii="GHEA Grapalat" w:hAnsi="GHEA Grapalat" w:cs="Sylfaen"/>
          <w:noProof/>
          <w:sz w:val="20"/>
          <w:lang w:val="hy-AM" w:eastAsia="en-US"/>
        </w:rPr>
        <w:t>գ. եթե մասնակիցը չի հանդիսանում Հայաստանի Հանրապետության ռեզիդենտ կամ մասնակիցը անհատ ձեռնարկատեր չհանդիսացող ֆիզիկական անձ է, ապա սույն ենթակետի ա) պարբերությամբ նախատեսված պայմանը չի գործում և տվյալ մասնակիցը հայտով ներկայացնում է միայն հայտարարություն.</w:t>
      </w:r>
    </w:p>
    <w:p w:rsidR="001E6287" w:rsidRPr="001C1D76" w:rsidRDefault="000511BD" w:rsidP="001C1D76">
      <w:pPr>
        <w:ind w:left="81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7</w:t>
      </w:r>
      <w:r w:rsidR="001E6287" w:rsidRPr="001C1D76">
        <w:rPr>
          <w:rFonts w:ascii="GHEA Grapalat" w:hAnsi="GHEA Grapalat" w:cs="Sylfaen"/>
          <w:b/>
          <w:noProof/>
          <w:sz w:val="20"/>
          <w:szCs w:val="20"/>
          <w:lang w:val="hy-AM"/>
        </w:rPr>
        <w:t>.Այլ տեղեկություններ.</w:t>
      </w:r>
    </w:p>
    <w:p w:rsidR="001E6287" w:rsidRPr="001C1D76" w:rsidRDefault="001E6287" w:rsidP="001C1D76">
      <w:pPr>
        <w:numPr>
          <w:ilvl w:val="0"/>
          <w:numId w:val="7"/>
        </w:numPr>
        <w:ind w:left="0" w:firstLine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ՀՀ հանրային հատվածի կազմակերպության գործառույթները սահմանված են </w:t>
      </w:r>
      <w:r w:rsidRPr="001C1D76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>«</w:t>
      </w:r>
      <w:r w:rsidRPr="001C1D76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Կառավարության կառուցվածքի և գործունեության մասին</w:t>
      </w:r>
      <w:r w:rsidRPr="001C1D76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>»</w:t>
      </w:r>
      <w:r w:rsidRPr="001C1D76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օրենքով, ՀՀ վարչապետի որոշմամբ և այլ նորմատիվ իրավական ակտերով,</w:t>
      </w:r>
    </w:p>
    <w:p w:rsidR="00226709" w:rsidRPr="001C1D76" w:rsidRDefault="00226709" w:rsidP="001C1D76">
      <w:pPr>
        <w:pStyle w:val="a3"/>
        <w:numPr>
          <w:ilvl w:val="0"/>
          <w:numId w:val="7"/>
        </w:numPr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  <w:r w:rsidRPr="001C1D76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Ծառայությ</w:t>
      </w:r>
      <w:r w:rsidR="003C5C55" w:rsidRPr="001C1D76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ան մատուցման ավարտ սահմանել 2026</w:t>
      </w:r>
      <w:r w:rsidRPr="001C1D76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թ.հունվարի 30-ներառյալ ։</w:t>
      </w:r>
    </w:p>
    <w:p w:rsidR="00226709" w:rsidRPr="001C1D76" w:rsidRDefault="00226709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5E20AC" w:rsidRPr="001C1D76" w:rsidRDefault="005E20AC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5E20AC" w:rsidRPr="008B6895" w:rsidRDefault="005E20AC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1C1D76" w:rsidRPr="008B6895" w:rsidRDefault="001C1D76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1C1D76" w:rsidRPr="008B6895" w:rsidRDefault="001C1D76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1C1D76" w:rsidRPr="008B6895" w:rsidRDefault="001C1D76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1C1D76" w:rsidRPr="008B6895" w:rsidRDefault="001C1D76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1C1D76" w:rsidRPr="008B6895" w:rsidRDefault="001C1D76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804073" w:rsidRPr="008B6895" w:rsidRDefault="00804073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804073" w:rsidRPr="008B6895" w:rsidRDefault="00804073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1C1D76" w:rsidRDefault="001C1D76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</w:rPr>
      </w:pPr>
    </w:p>
    <w:p w:rsidR="00E77779" w:rsidRDefault="00E77779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</w:rPr>
      </w:pPr>
    </w:p>
    <w:p w:rsidR="00E77779" w:rsidRPr="00E77779" w:rsidRDefault="00E77779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</w:rPr>
      </w:pPr>
    </w:p>
    <w:p w:rsidR="005E20AC" w:rsidRPr="001C1D76" w:rsidRDefault="005E20AC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5E20AC" w:rsidRPr="001C1D76" w:rsidRDefault="005E20AC" w:rsidP="001C1D76">
      <w:pPr>
        <w:spacing w:line="360" w:lineRule="auto"/>
        <w:ind w:left="567"/>
        <w:jc w:val="both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:rsidR="00D75FE8" w:rsidRPr="001C1D76" w:rsidRDefault="009F0445" w:rsidP="001C1D76">
      <w:pPr>
        <w:pStyle w:val="a3"/>
        <w:ind w:left="1890" w:right="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C1D76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</w:p>
    <w:p w:rsidR="007E3803" w:rsidRPr="001C1D76" w:rsidRDefault="00D75FE8" w:rsidP="001C1D76">
      <w:pPr>
        <w:pStyle w:val="a3"/>
        <w:ind w:left="1890" w:right="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C1D76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</w:t>
      </w:r>
      <w:r w:rsidR="007E3803" w:rsidRPr="001C1D76">
        <w:rPr>
          <w:rFonts w:ascii="GHEA Grapalat" w:hAnsi="GHEA Grapalat"/>
          <w:b/>
          <w:sz w:val="20"/>
          <w:szCs w:val="20"/>
          <w:lang w:val="hy-AM"/>
        </w:rPr>
        <w:t>ԱՈՒԴԻՏԻ ԵՆԹԱՐԿՎՈՂ ՄԻԱՎՈՐՆԵՐԻ ՑԱՆԿԸ</w:t>
      </w:r>
    </w:p>
    <w:p w:rsidR="007E3803" w:rsidRPr="001C1D76" w:rsidRDefault="00E95D19" w:rsidP="001C1D76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15"/>
        <w:jc w:val="both"/>
        <w:outlineLvl w:val="1"/>
        <w:rPr>
          <w:rFonts w:ascii="GHEA Grapalat" w:hAnsi="GHEA Grapalat"/>
          <w:sz w:val="20"/>
          <w:szCs w:val="20"/>
          <w:lang w:val="hy-AM"/>
        </w:rPr>
      </w:pPr>
      <w:r w:rsidRPr="001C1D76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7E3803" w:rsidRPr="001C1D76">
        <w:rPr>
          <w:rFonts w:ascii="GHEA Grapalat" w:hAnsi="GHEA Grapalat"/>
          <w:sz w:val="20"/>
          <w:szCs w:val="20"/>
          <w:lang w:val="hy-AM"/>
        </w:rPr>
        <w:t>Արդյունքում կազմվել է ներքին աուդիտի ծառայության 20</w:t>
      </w:r>
      <w:r w:rsidR="00A85731" w:rsidRPr="001C1D76">
        <w:rPr>
          <w:rFonts w:ascii="GHEA Grapalat" w:hAnsi="GHEA Grapalat"/>
          <w:sz w:val="20"/>
          <w:szCs w:val="20"/>
          <w:lang w:val="hy-AM"/>
        </w:rPr>
        <w:t>25</w:t>
      </w:r>
      <w:r w:rsidR="007E3803" w:rsidRPr="001C1D76">
        <w:rPr>
          <w:rFonts w:ascii="GHEA Grapalat" w:hAnsi="GHEA Grapalat"/>
          <w:sz w:val="20"/>
          <w:szCs w:val="20"/>
          <w:lang w:val="hy-AM"/>
        </w:rPr>
        <w:t>թ. ռազմավարական ծրագրի աուդիտի ենթակա հետևյալ միավորների ցանկը.</w:t>
      </w:r>
    </w:p>
    <w:p w:rsidR="002925F0" w:rsidRPr="001C1D76" w:rsidRDefault="002925F0" w:rsidP="001C1D76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15"/>
        <w:jc w:val="both"/>
        <w:outlineLvl w:val="1"/>
        <w:rPr>
          <w:rFonts w:ascii="Sylfaen" w:hAnsi="Sylfaen"/>
          <w:i/>
          <w:sz w:val="20"/>
          <w:szCs w:val="20"/>
          <w:lang w:val="hy-AM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7904"/>
        <w:gridCol w:w="2621"/>
      </w:tblGrid>
      <w:tr w:rsidR="00A85731" w:rsidRPr="001C1D76" w:rsidTr="00A85731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right="25"/>
              <w:jc w:val="both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1C1D7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right="25"/>
              <w:jc w:val="both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1C1D7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Միավորի անվանումը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ind w:right="25"/>
              <w:jc w:val="both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1C1D7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Ստուգման</w:t>
            </w:r>
            <w:proofErr w:type="spellEnd"/>
            <w:r w:rsidRPr="001C1D7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ժամանակացույցը</w:t>
            </w:r>
            <w:proofErr w:type="spellEnd"/>
          </w:p>
        </w:tc>
      </w:tr>
      <w:tr w:rsidR="00A85731" w:rsidRPr="001C1D76" w:rsidTr="00A85731">
        <w:trPr>
          <w:trHeight w:val="43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jc w:val="both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731" w:rsidRPr="001C1D76" w:rsidRDefault="00A85731" w:rsidP="001C1D76">
            <w:pPr>
              <w:jc w:val="both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</w:rPr>
            </w:pPr>
            <w:r w:rsidRPr="001C1D76"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</w:rPr>
              <w:t>2024-2025թթ</w:t>
            </w:r>
          </w:p>
        </w:tc>
      </w:tr>
      <w:tr w:rsidR="00A85731" w:rsidRPr="001C1D76" w:rsidTr="00722758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Քաղաքաշինության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հողաշինության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բաժին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85731" w:rsidRPr="001C1D76" w:rsidTr="00722758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ֆինանսատնտեսագիտական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բաժին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3</w:t>
            </w: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Եկամուտների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հաշվառման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հավաքագրման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բաժին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 w:cs="Miriam Transparent"/>
                <w:sz w:val="20"/>
                <w:szCs w:val="20"/>
                <w:lang w:val="hy-AM" w:bidi="he-IL"/>
              </w:rPr>
            </w:pPr>
          </w:p>
        </w:tc>
      </w:tr>
      <w:tr w:rsidR="00A85731" w:rsidRPr="00E77779" w:rsidTr="00722758">
        <w:trPr>
          <w:trHeight w:val="3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Տուրիզմի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>,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առևտրի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>,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սպասարկման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գովազդի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բաժին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3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Կոմունալ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տնտեսության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>,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համատիրությունների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աշխատանքների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համակարգման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տրանսպորտի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բաժին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85731" w:rsidRPr="001C1D76" w:rsidTr="00722758">
        <w:trPr>
          <w:trHeight w:val="3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Գնումների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զարգացման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բաժին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r w:rsidRPr="001C1D76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Կոմունալ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տնտեսություն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աղբահանություն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սանմաքրում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» 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ԲՀ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Վարչական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շենքի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սպասարկման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պահպանման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հիմնարկ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ԲՀ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85731" w:rsidRPr="001C1D76" w:rsidTr="00722758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r w:rsidRPr="001C1D76">
              <w:rPr>
                <w:sz w:val="20"/>
                <w:szCs w:val="20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Մաքուր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Հրազդան</w:t>
            </w:r>
            <w:proofErr w:type="spellEnd"/>
            <w:r w:rsidRPr="001C1D76">
              <w:rPr>
                <w:sz w:val="20"/>
                <w:szCs w:val="20"/>
              </w:rPr>
              <w:t xml:space="preserve">» 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r w:rsidRPr="001C1D76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Հուղարկավորությունների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կազմակերպման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>,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գերեզմանների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պահպանման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և</w:t>
            </w:r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շահագործման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» 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85731" w:rsidRPr="001C1D76" w:rsidTr="00722758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r w:rsidRPr="001C1D76">
              <w:rPr>
                <w:sz w:val="20"/>
                <w:szCs w:val="20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Հրազդան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Քաղլույս</w:t>
            </w:r>
            <w:proofErr w:type="spellEnd"/>
            <w:r w:rsidRPr="001C1D76">
              <w:rPr>
                <w:sz w:val="20"/>
                <w:szCs w:val="20"/>
              </w:rPr>
              <w:t xml:space="preserve">» 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Հրազդանի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Երվանդ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Քոչարի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անվան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մանկական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արվեստի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դպրոց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»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85731" w:rsidRPr="00E77779" w:rsidTr="00722758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  <w:lang w:val="ru-RU"/>
              </w:rPr>
            </w:pPr>
            <w:r w:rsidRPr="001C1D76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Հրազդանի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դրամատիկական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թատրոն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մշակութային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կենտրոն</w:t>
            </w:r>
            <w:proofErr w:type="spellEnd"/>
            <w:r w:rsidRPr="001C1D76">
              <w:rPr>
                <w:sz w:val="20"/>
                <w:szCs w:val="20"/>
                <w:lang w:val="ru-RU"/>
              </w:rPr>
              <w:t xml:space="preserve">,,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85731" w:rsidRPr="001C1D76" w:rsidTr="00722758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r w:rsidRPr="001C1D76">
              <w:rPr>
                <w:sz w:val="20"/>
                <w:szCs w:val="20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Հրազդանի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թիվ</w:t>
            </w:r>
            <w:proofErr w:type="spellEnd"/>
            <w:r w:rsidRPr="001C1D76">
              <w:rPr>
                <w:sz w:val="20"/>
                <w:szCs w:val="20"/>
              </w:rPr>
              <w:t xml:space="preserve">  12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ՆՈՒՀ</w:t>
            </w:r>
            <w:r w:rsidRPr="001C1D76">
              <w:rPr>
                <w:sz w:val="20"/>
                <w:szCs w:val="20"/>
              </w:rPr>
              <w:t xml:space="preserve">»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85731" w:rsidRPr="001C1D76" w:rsidTr="00722758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31" w:rsidRPr="001C1D76" w:rsidRDefault="00A85731" w:rsidP="001C1D76">
            <w:pPr>
              <w:ind w:left="36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  <w:r w:rsidRPr="001C1D7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jc w:val="both"/>
              <w:rPr>
                <w:sz w:val="20"/>
                <w:szCs w:val="20"/>
              </w:rPr>
            </w:pPr>
            <w:r w:rsidRPr="001C1D76">
              <w:rPr>
                <w:sz w:val="20"/>
                <w:szCs w:val="20"/>
              </w:rPr>
              <w:t>«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Հրազդանի</w:t>
            </w:r>
            <w:proofErr w:type="spellEnd"/>
            <w:r w:rsidRPr="001C1D76">
              <w:rPr>
                <w:sz w:val="20"/>
                <w:szCs w:val="20"/>
              </w:rPr>
              <w:t xml:space="preserve"> </w:t>
            </w:r>
            <w:proofErr w:type="spellStart"/>
            <w:r w:rsidRPr="001C1D76">
              <w:rPr>
                <w:rFonts w:ascii="Sylfaen" w:hAnsi="Sylfaen" w:cs="Sylfaen"/>
                <w:sz w:val="20"/>
                <w:szCs w:val="20"/>
              </w:rPr>
              <w:t>թիվ</w:t>
            </w:r>
            <w:proofErr w:type="spellEnd"/>
            <w:r w:rsidRPr="001C1D76">
              <w:rPr>
                <w:sz w:val="20"/>
                <w:szCs w:val="20"/>
              </w:rPr>
              <w:t xml:space="preserve"> 15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ՆՈՒՀ</w:t>
            </w:r>
            <w:r w:rsidRPr="001C1D76">
              <w:rPr>
                <w:sz w:val="20"/>
                <w:szCs w:val="20"/>
              </w:rPr>
              <w:t xml:space="preserve">» </w:t>
            </w:r>
            <w:r w:rsidRPr="001C1D76">
              <w:rPr>
                <w:rFonts w:ascii="Sylfaen" w:hAnsi="Sylfaen" w:cs="Sylfaen"/>
                <w:sz w:val="20"/>
                <w:szCs w:val="20"/>
              </w:rPr>
              <w:t>ՀՈԱԿ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31" w:rsidRPr="001C1D76" w:rsidRDefault="00A85731" w:rsidP="001C1D76">
            <w:pPr>
              <w:spacing w:after="16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</w:tr>
    </w:tbl>
    <w:p w:rsidR="00146FD1" w:rsidRDefault="00146FD1" w:rsidP="00146FD1">
      <w:pPr>
        <w:rPr>
          <w:rFonts w:ascii="GHEA Grapalat" w:hAnsi="GHEA Grapalat"/>
          <w:b/>
          <w:sz w:val="20"/>
          <w:szCs w:val="20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77"/>
        <w:gridCol w:w="1839"/>
        <w:gridCol w:w="428"/>
        <w:gridCol w:w="465"/>
        <w:gridCol w:w="410"/>
        <w:gridCol w:w="410"/>
        <w:gridCol w:w="590"/>
        <w:gridCol w:w="590"/>
        <w:gridCol w:w="590"/>
        <w:gridCol w:w="590"/>
        <w:gridCol w:w="590"/>
        <w:gridCol w:w="590"/>
        <w:gridCol w:w="590"/>
        <w:gridCol w:w="604"/>
        <w:gridCol w:w="590"/>
      </w:tblGrid>
      <w:tr w:rsidR="00804073" w:rsidRPr="00804073" w:rsidTr="00804073">
        <w:trPr>
          <w:trHeight w:val="344"/>
        </w:trPr>
        <w:tc>
          <w:tcPr>
            <w:tcW w:w="11168" w:type="dxa"/>
            <w:gridSpan w:val="16"/>
          </w:tcPr>
          <w:p w:rsidR="00804073" w:rsidRPr="00804073" w:rsidRDefault="00804073" w:rsidP="0080407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20"/>
              </w:rPr>
            </w:pP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Sylfaen" w:hAnsi="Sylfaen" w:cs="Sylfaen"/>
                <w:b/>
                <w:sz w:val="22"/>
                <w:szCs w:val="22"/>
                <w:lang w:val="hy-AM"/>
              </w:rPr>
              <w:softHyphen/>
            </w:r>
            <w:r w:rsidRPr="00804073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ՎՃԱՐՄԱՆ ԺԱՄԱՆԱԿԱՑՈՒՅՑ</w:t>
            </w:r>
          </w:p>
        </w:tc>
      </w:tr>
      <w:tr w:rsidR="00804073" w:rsidRPr="00804073" w:rsidTr="00804073">
        <w:trPr>
          <w:trHeight w:val="313"/>
        </w:trPr>
        <w:tc>
          <w:tcPr>
            <w:tcW w:w="11168" w:type="dxa"/>
            <w:gridSpan w:val="16"/>
          </w:tcPr>
          <w:p w:rsidR="00804073" w:rsidRPr="00804073" w:rsidRDefault="00804073" w:rsidP="00804073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8"/>
                <w:lang w:val="hy-AM"/>
              </w:rPr>
            </w:pPr>
            <w:r w:rsidRPr="00804073">
              <w:rPr>
                <w:rFonts w:ascii="GHEA Grapalat" w:hAnsi="GHEA Grapalat" w:cs="Calibri"/>
                <w:color w:val="000000"/>
                <w:sz w:val="14"/>
                <w:szCs w:val="18"/>
                <w:lang w:val="hy-AM"/>
              </w:rPr>
              <w:t>Ծառայությունների</w:t>
            </w:r>
          </w:p>
        </w:tc>
      </w:tr>
      <w:tr w:rsidR="00804073" w:rsidRPr="00804073" w:rsidTr="00804073">
        <w:trPr>
          <w:trHeight w:val="650"/>
        </w:trPr>
        <w:tc>
          <w:tcPr>
            <w:tcW w:w="1219" w:type="dxa"/>
            <w:vMerge w:val="restart"/>
            <w:shd w:val="clear" w:color="auto" w:fill="auto"/>
            <w:vAlign w:val="center"/>
            <w:hideMark/>
          </w:tcPr>
          <w:p w:rsidR="00804073" w:rsidRPr="00804073" w:rsidRDefault="00804073" w:rsidP="0080407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հրավերով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նախատեսված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չափաբաժնի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համարը</w:t>
            </w:r>
            <w:proofErr w:type="spellEnd"/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804073" w:rsidRPr="00804073" w:rsidRDefault="00804073" w:rsidP="0080407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գնումների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պլանով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նախատեսված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միջանցիկ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ծածկագիրը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`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ըստ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ԳՄԱ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դասակարգման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(CPV)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  <w:hideMark/>
          </w:tcPr>
          <w:p w:rsidR="00804073" w:rsidRPr="00804073" w:rsidRDefault="00804073" w:rsidP="0080407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անվանումը</w:t>
            </w:r>
            <w:proofErr w:type="spellEnd"/>
          </w:p>
        </w:tc>
        <w:tc>
          <w:tcPr>
            <w:tcW w:w="6708" w:type="dxa"/>
            <w:gridSpan w:val="13"/>
            <w:vAlign w:val="center"/>
          </w:tcPr>
          <w:p w:rsidR="00804073" w:rsidRPr="00804073" w:rsidRDefault="00804073" w:rsidP="0080407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դիմաց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վճարումները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նախատեսվում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է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իրականացնել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5</w:t>
            </w:r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թ-ին`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ըստ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ամիսների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,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այդ</w:t>
            </w:r>
            <w:proofErr w:type="spellEnd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 xml:space="preserve"> 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թվում</w:t>
            </w:r>
            <w:proofErr w:type="spellEnd"/>
          </w:p>
        </w:tc>
      </w:tr>
      <w:tr w:rsidR="00804073" w:rsidRPr="00804073" w:rsidTr="00804073">
        <w:trPr>
          <w:cantSplit/>
          <w:trHeight w:val="1134"/>
        </w:trPr>
        <w:tc>
          <w:tcPr>
            <w:tcW w:w="1219" w:type="dxa"/>
            <w:vMerge/>
            <w:vAlign w:val="center"/>
            <w:hideMark/>
          </w:tcPr>
          <w:p w:rsidR="00804073" w:rsidRPr="00804073" w:rsidRDefault="00804073" w:rsidP="00804073">
            <w:pPr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804073" w:rsidRPr="00804073" w:rsidRDefault="00804073" w:rsidP="00804073">
            <w:pPr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</w:p>
        </w:tc>
        <w:tc>
          <w:tcPr>
            <w:tcW w:w="1964" w:type="dxa"/>
            <w:vMerge/>
            <w:vAlign w:val="center"/>
            <w:hideMark/>
          </w:tcPr>
          <w:p w:rsidR="00804073" w:rsidRPr="00804073" w:rsidRDefault="00804073" w:rsidP="00804073">
            <w:pPr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</w:p>
        </w:tc>
        <w:tc>
          <w:tcPr>
            <w:tcW w:w="444" w:type="dxa"/>
            <w:shd w:val="clear" w:color="auto" w:fill="auto"/>
            <w:textDirection w:val="btLr"/>
            <w:vAlign w:val="center"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</w:pPr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hy-AM"/>
              </w:rPr>
              <w:t>հ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  <w:t>ունվար</w:t>
            </w:r>
            <w:proofErr w:type="spellEnd"/>
          </w:p>
        </w:tc>
        <w:tc>
          <w:tcPr>
            <w:tcW w:w="512" w:type="dxa"/>
            <w:textDirection w:val="btLr"/>
            <w:vAlign w:val="center"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</w:pPr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hy-AM"/>
              </w:rPr>
              <w:t>փ</w:t>
            </w: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  <w:t>ետրվար</w:t>
            </w:r>
            <w:proofErr w:type="spellEnd"/>
          </w:p>
        </w:tc>
        <w:tc>
          <w:tcPr>
            <w:tcW w:w="412" w:type="dxa"/>
            <w:textDirection w:val="btLr"/>
            <w:vAlign w:val="center"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  <w:t>մարտ</w:t>
            </w:r>
            <w:proofErr w:type="spellEnd"/>
          </w:p>
        </w:tc>
        <w:tc>
          <w:tcPr>
            <w:tcW w:w="412" w:type="dxa"/>
            <w:textDirection w:val="btLr"/>
            <w:vAlign w:val="center"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  <w:t>ապրիլ</w:t>
            </w:r>
            <w:proofErr w:type="spellEnd"/>
          </w:p>
        </w:tc>
        <w:tc>
          <w:tcPr>
            <w:tcW w:w="510" w:type="dxa"/>
            <w:textDirection w:val="btLr"/>
            <w:vAlign w:val="center"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  <w:lang w:val="ru-RU"/>
              </w:rPr>
              <w:t>մային</w:t>
            </w:r>
            <w:proofErr w:type="spellEnd"/>
          </w:p>
        </w:tc>
        <w:tc>
          <w:tcPr>
            <w:tcW w:w="510" w:type="dxa"/>
            <w:textDirection w:val="btLr"/>
            <w:vAlign w:val="center"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հունիս</w:t>
            </w:r>
            <w:proofErr w:type="spellEnd"/>
          </w:p>
        </w:tc>
        <w:tc>
          <w:tcPr>
            <w:tcW w:w="510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հուլիս</w:t>
            </w:r>
            <w:proofErr w:type="spellEnd"/>
          </w:p>
        </w:tc>
        <w:tc>
          <w:tcPr>
            <w:tcW w:w="510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օգոստոս</w:t>
            </w:r>
            <w:proofErr w:type="spellEnd"/>
          </w:p>
        </w:tc>
        <w:tc>
          <w:tcPr>
            <w:tcW w:w="585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սեպտեմբեր</w:t>
            </w:r>
            <w:proofErr w:type="spellEnd"/>
          </w:p>
        </w:tc>
        <w:tc>
          <w:tcPr>
            <w:tcW w:w="585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հոկտեմբեր</w:t>
            </w:r>
            <w:proofErr w:type="spellEnd"/>
          </w:p>
        </w:tc>
        <w:tc>
          <w:tcPr>
            <w:tcW w:w="513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նոյեմբեր</w:t>
            </w:r>
            <w:proofErr w:type="spellEnd"/>
          </w:p>
        </w:tc>
        <w:tc>
          <w:tcPr>
            <w:tcW w:w="615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դեկտեմբեր</w:t>
            </w:r>
            <w:proofErr w:type="spellEnd"/>
          </w:p>
        </w:tc>
        <w:tc>
          <w:tcPr>
            <w:tcW w:w="590" w:type="dxa"/>
            <w:shd w:val="clear" w:color="auto" w:fill="auto"/>
            <w:textDirection w:val="btLr"/>
            <w:vAlign w:val="center"/>
            <w:hideMark/>
          </w:tcPr>
          <w:p w:rsidR="00804073" w:rsidRPr="00804073" w:rsidRDefault="00804073" w:rsidP="0080407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</w:pPr>
            <w:proofErr w:type="spellStart"/>
            <w:r w:rsidRPr="00804073">
              <w:rPr>
                <w:rFonts w:ascii="GHEA Grapalat" w:hAnsi="GHEA Grapalat" w:cs="Calibri"/>
                <w:b/>
                <w:bCs/>
                <w:color w:val="000000"/>
                <w:sz w:val="14"/>
                <w:szCs w:val="18"/>
              </w:rPr>
              <w:t>Ընդամենը</w:t>
            </w:r>
            <w:proofErr w:type="spellEnd"/>
          </w:p>
        </w:tc>
      </w:tr>
      <w:tr w:rsidR="00E77779" w:rsidRPr="00804073" w:rsidTr="00875154">
        <w:trPr>
          <w:trHeight w:val="117"/>
        </w:trPr>
        <w:tc>
          <w:tcPr>
            <w:tcW w:w="1219" w:type="dxa"/>
            <w:shd w:val="clear" w:color="auto" w:fill="auto"/>
            <w:vAlign w:val="center"/>
            <w:hideMark/>
          </w:tcPr>
          <w:p w:rsidR="00E77779" w:rsidRPr="00804073" w:rsidRDefault="00E77779" w:rsidP="00804073">
            <w:pPr>
              <w:jc w:val="center"/>
              <w:rPr>
                <w:rFonts w:ascii="GHEA Grapalat" w:hAnsi="GHEA Grapalat"/>
                <w:sz w:val="18"/>
                <w:szCs w:val="22"/>
                <w:lang w:val="hy-AM"/>
              </w:rPr>
            </w:pPr>
            <w:r w:rsidRPr="00804073">
              <w:rPr>
                <w:rFonts w:ascii="GHEA Grapalat" w:hAnsi="GHEA Grapalat"/>
                <w:sz w:val="18"/>
                <w:szCs w:val="22"/>
                <w:lang w:val="hy-AM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77779" w:rsidRPr="00804073" w:rsidRDefault="00E77779" w:rsidP="00804073">
            <w:pPr>
              <w:jc w:val="center"/>
              <w:rPr>
                <w:rFonts w:ascii="GHEA Grapalat" w:hAnsi="GHEA Grapalat"/>
                <w:sz w:val="18"/>
                <w:szCs w:val="22"/>
                <w:lang w:val="hy-AM"/>
              </w:rPr>
            </w:pPr>
            <w:r w:rsidRPr="00F62703">
              <w:rPr>
                <w:rFonts w:ascii="GHEA Grapalat" w:hAnsi="GHEA Grapalat"/>
                <w:color w:val="000000"/>
              </w:rPr>
              <w:t>79211180</w:t>
            </w:r>
          </w:p>
        </w:tc>
        <w:tc>
          <w:tcPr>
            <w:tcW w:w="1964" w:type="dxa"/>
            <w:vAlign w:val="center"/>
          </w:tcPr>
          <w:p w:rsidR="00E77779" w:rsidRPr="00804073" w:rsidRDefault="00E77779" w:rsidP="00804073">
            <w:pPr>
              <w:rPr>
                <w:rFonts w:ascii="GHEA Grapalat" w:hAnsi="GHEA Grapalat" w:cs="Calibri"/>
                <w:color w:val="000000"/>
                <w:sz w:val="18"/>
                <w:szCs w:val="22"/>
                <w:lang w:val="hy-AM"/>
              </w:rPr>
            </w:pPr>
            <w:r w:rsidRPr="00804073">
              <w:rPr>
                <w:rFonts w:ascii="GHEA Grapalat" w:hAnsi="GHEA Grapalat" w:cs="Sylfaen"/>
                <w:color w:val="000000"/>
                <w:lang w:val="hy-AM"/>
              </w:rPr>
              <w:t>Ներքին աուդիտի ծառայություն</w:t>
            </w:r>
            <w:r w:rsidRPr="00804073">
              <w:rPr>
                <w:rFonts w:ascii="GHEA Grapalat" w:hAnsi="GHEA Grapalat" w:cs="Calibri"/>
                <w:color w:val="000000"/>
                <w:sz w:val="18"/>
                <w:szCs w:val="22"/>
                <w:lang w:val="hy-AM"/>
              </w:rPr>
              <w:t xml:space="preserve"> 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E77779" w:rsidRPr="00804073" w:rsidRDefault="00E77779" w:rsidP="008040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highlight w:val="yellow"/>
                <w:lang w:val="hy-AM"/>
              </w:rPr>
            </w:pPr>
          </w:p>
        </w:tc>
        <w:tc>
          <w:tcPr>
            <w:tcW w:w="512" w:type="dxa"/>
            <w:vAlign w:val="center"/>
          </w:tcPr>
          <w:p w:rsidR="00E77779" w:rsidRPr="00804073" w:rsidRDefault="00E77779" w:rsidP="008040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highlight w:val="yellow"/>
                <w:lang w:val="hy-AM"/>
              </w:rPr>
            </w:pPr>
          </w:p>
        </w:tc>
        <w:tc>
          <w:tcPr>
            <w:tcW w:w="412" w:type="dxa"/>
            <w:vAlign w:val="center"/>
          </w:tcPr>
          <w:p w:rsidR="00E77779" w:rsidRPr="00804073" w:rsidRDefault="00E77779" w:rsidP="008040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highlight w:val="yellow"/>
                <w:lang w:val="hy-AM"/>
              </w:rPr>
            </w:pPr>
          </w:p>
        </w:tc>
        <w:tc>
          <w:tcPr>
            <w:tcW w:w="412" w:type="dxa"/>
            <w:vAlign w:val="center"/>
          </w:tcPr>
          <w:p w:rsidR="00E77779" w:rsidRPr="00804073" w:rsidRDefault="00E77779" w:rsidP="00804073">
            <w:pPr>
              <w:jc w:val="center"/>
              <w:rPr>
                <w:sz w:val="16"/>
                <w:szCs w:val="20"/>
                <w:highlight w:val="yellow"/>
                <w:lang w:val="hy-AM"/>
              </w:rPr>
            </w:pPr>
          </w:p>
        </w:tc>
        <w:tc>
          <w:tcPr>
            <w:tcW w:w="510" w:type="dxa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510" w:type="dxa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510" w:type="dxa"/>
            <w:shd w:val="clear" w:color="auto" w:fill="auto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510" w:type="dxa"/>
            <w:shd w:val="clear" w:color="auto" w:fill="auto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585" w:type="dxa"/>
            <w:shd w:val="clear" w:color="auto" w:fill="auto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585" w:type="dxa"/>
            <w:shd w:val="clear" w:color="auto" w:fill="auto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513" w:type="dxa"/>
            <w:shd w:val="clear" w:color="auto" w:fill="auto"/>
          </w:tcPr>
          <w:p w:rsidR="00E77779" w:rsidRDefault="00E77779">
            <w:r w:rsidRPr="001E43DE">
              <w:rPr>
                <w:sz w:val="16"/>
                <w:szCs w:val="20"/>
                <w:lang w:val="ru-RU"/>
              </w:rPr>
              <w:t>100</w:t>
            </w:r>
            <w:r w:rsidRPr="001E43DE">
              <w:rPr>
                <w:sz w:val="16"/>
                <w:szCs w:val="20"/>
              </w:rPr>
              <w:t>%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E77779" w:rsidRPr="00804073" w:rsidRDefault="00E77779" w:rsidP="00804073">
            <w:pPr>
              <w:jc w:val="center"/>
              <w:rPr>
                <w:sz w:val="16"/>
                <w:szCs w:val="20"/>
              </w:rPr>
            </w:pPr>
            <w:r w:rsidRPr="00804073">
              <w:rPr>
                <w:sz w:val="16"/>
                <w:szCs w:val="20"/>
                <w:lang w:val="ru-RU"/>
              </w:rPr>
              <w:t>100</w:t>
            </w:r>
            <w:r w:rsidRPr="00804073">
              <w:rPr>
                <w:sz w:val="16"/>
                <w:szCs w:val="20"/>
              </w:rPr>
              <w:t>%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E77779" w:rsidRPr="00804073" w:rsidRDefault="00E77779" w:rsidP="00804073">
            <w:pPr>
              <w:jc w:val="center"/>
              <w:rPr>
                <w:sz w:val="16"/>
                <w:szCs w:val="20"/>
              </w:rPr>
            </w:pPr>
            <w:r w:rsidRPr="00804073">
              <w:rPr>
                <w:sz w:val="16"/>
                <w:szCs w:val="20"/>
                <w:lang w:val="ru-RU"/>
              </w:rPr>
              <w:t>100</w:t>
            </w:r>
            <w:r w:rsidRPr="00804073">
              <w:rPr>
                <w:sz w:val="16"/>
                <w:szCs w:val="20"/>
              </w:rPr>
              <w:t>%</w:t>
            </w:r>
          </w:p>
        </w:tc>
      </w:tr>
    </w:tbl>
    <w:p w:rsidR="00804073" w:rsidRDefault="00804073" w:rsidP="00804073">
      <w:pPr>
        <w:rPr>
          <w:rFonts w:ascii="GHEA Grapalat" w:hAnsi="GHEA Grapalat"/>
          <w:b/>
          <w:sz w:val="20"/>
          <w:szCs w:val="20"/>
        </w:rPr>
      </w:pPr>
    </w:p>
    <w:p w:rsidR="001D45CC" w:rsidRPr="00804073" w:rsidRDefault="001D45CC" w:rsidP="00804073"/>
    <w:sectPr w:rsidR="001D45CC" w:rsidRPr="00804073" w:rsidSect="00804073">
      <w:pgSz w:w="12240" w:h="15840"/>
      <w:pgMar w:top="426" w:right="63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riam Transparent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890" w:hanging="360"/>
      </w:pPr>
    </w:lvl>
    <w:lvl w:ilvl="1" w:tplc="04090019">
      <w:start w:val="1"/>
      <w:numFmt w:val="lowerLetter"/>
      <w:lvlText w:val="%2."/>
      <w:lvlJc w:val="left"/>
      <w:pPr>
        <w:ind w:left="2367" w:hanging="360"/>
      </w:pPr>
    </w:lvl>
    <w:lvl w:ilvl="2" w:tplc="0409001B">
      <w:start w:val="1"/>
      <w:numFmt w:val="lowerRoman"/>
      <w:lvlText w:val="%3."/>
      <w:lvlJc w:val="right"/>
      <w:pPr>
        <w:ind w:left="3087" w:hanging="180"/>
      </w:pPr>
    </w:lvl>
    <w:lvl w:ilvl="3" w:tplc="0409000F">
      <w:start w:val="1"/>
      <w:numFmt w:val="decimal"/>
      <w:lvlText w:val="%4."/>
      <w:lvlJc w:val="left"/>
      <w:pPr>
        <w:ind w:left="3807" w:hanging="360"/>
      </w:pPr>
    </w:lvl>
    <w:lvl w:ilvl="4" w:tplc="04090019">
      <w:start w:val="1"/>
      <w:numFmt w:val="lowerLetter"/>
      <w:lvlText w:val="%5."/>
      <w:lvlJc w:val="left"/>
      <w:pPr>
        <w:ind w:left="4527" w:hanging="360"/>
      </w:pPr>
    </w:lvl>
    <w:lvl w:ilvl="5" w:tplc="0409001B">
      <w:start w:val="1"/>
      <w:numFmt w:val="lowerRoman"/>
      <w:lvlText w:val="%6."/>
      <w:lvlJc w:val="right"/>
      <w:pPr>
        <w:ind w:left="5247" w:hanging="180"/>
      </w:pPr>
    </w:lvl>
    <w:lvl w:ilvl="6" w:tplc="0409000F">
      <w:start w:val="1"/>
      <w:numFmt w:val="decimal"/>
      <w:lvlText w:val="%7."/>
      <w:lvlJc w:val="left"/>
      <w:pPr>
        <w:ind w:left="5967" w:hanging="360"/>
      </w:pPr>
    </w:lvl>
    <w:lvl w:ilvl="7" w:tplc="04090019">
      <w:start w:val="1"/>
      <w:numFmt w:val="lowerLetter"/>
      <w:lvlText w:val="%8."/>
      <w:lvlJc w:val="left"/>
      <w:pPr>
        <w:ind w:left="6687" w:hanging="360"/>
      </w:pPr>
    </w:lvl>
    <w:lvl w:ilvl="8" w:tplc="0409001B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27F6376C"/>
    <w:multiLevelType w:val="hybridMultilevel"/>
    <w:tmpl w:val="D2A816E2"/>
    <w:lvl w:ilvl="0" w:tplc="24F05D94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C31861"/>
    <w:multiLevelType w:val="hybridMultilevel"/>
    <w:tmpl w:val="87681D68"/>
    <w:lvl w:ilvl="0" w:tplc="719E5BEA">
      <w:start w:val="3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AF6DBC"/>
    <w:multiLevelType w:val="hybridMultilevel"/>
    <w:tmpl w:val="55669682"/>
    <w:lvl w:ilvl="0" w:tplc="D9FAFE0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ED1917"/>
    <w:multiLevelType w:val="hybridMultilevel"/>
    <w:tmpl w:val="64069B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2F"/>
    <w:rsid w:val="000511BD"/>
    <w:rsid w:val="00146FD1"/>
    <w:rsid w:val="0015434C"/>
    <w:rsid w:val="001A1474"/>
    <w:rsid w:val="001C1D76"/>
    <w:rsid w:val="001D45CC"/>
    <w:rsid w:val="001E6287"/>
    <w:rsid w:val="00226709"/>
    <w:rsid w:val="002925F0"/>
    <w:rsid w:val="003C5C55"/>
    <w:rsid w:val="005E20AC"/>
    <w:rsid w:val="007E3803"/>
    <w:rsid w:val="00804073"/>
    <w:rsid w:val="008B031F"/>
    <w:rsid w:val="008B6895"/>
    <w:rsid w:val="00915C9F"/>
    <w:rsid w:val="00952430"/>
    <w:rsid w:val="009C36C0"/>
    <w:rsid w:val="009F0445"/>
    <w:rsid w:val="00A71531"/>
    <w:rsid w:val="00A85731"/>
    <w:rsid w:val="00AA1ACE"/>
    <w:rsid w:val="00AF4926"/>
    <w:rsid w:val="00D75FE8"/>
    <w:rsid w:val="00DB4A2F"/>
    <w:rsid w:val="00E77779"/>
    <w:rsid w:val="00E95D19"/>
    <w:rsid w:val="00F7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">
    <w:name w:val="norm"/>
    <w:basedOn w:val="a"/>
    <w:rsid w:val="001E628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E6287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1E628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5">
    <w:name w:val="Hyperlink"/>
    <w:basedOn w:val="a0"/>
    <w:uiPriority w:val="99"/>
    <w:semiHidden/>
    <w:unhideWhenUsed/>
    <w:rsid w:val="007E3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">
    <w:name w:val="norm"/>
    <w:basedOn w:val="a"/>
    <w:rsid w:val="001E628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E6287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1E628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5">
    <w:name w:val="Hyperlink"/>
    <w:basedOn w:val="a0"/>
    <w:uiPriority w:val="99"/>
    <w:semiHidden/>
    <w:unhideWhenUsed/>
    <w:rsid w:val="007E38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2041</Words>
  <Characters>11634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Пользователь Intel</cp:lastModifiedBy>
  <cp:revision>3</cp:revision>
  <cp:lastPrinted>2025-04-21T12:14:00Z</cp:lastPrinted>
  <dcterms:created xsi:type="dcterms:W3CDTF">2025-04-22T06:10:00Z</dcterms:created>
  <dcterms:modified xsi:type="dcterms:W3CDTF">2025-04-22T06:13:00Z</dcterms:modified>
</cp:coreProperties>
</file>