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:rsidR="00D55146" w:rsidRPr="005E1F72" w:rsidRDefault="00D55146" w:rsidP="00D55146">
      <w:pPr>
        <w:jc w:val="center"/>
        <w:rPr>
          <w:rFonts w:ascii="GHEA Grapalat" w:hAnsi="GHEA Grapalat"/>
          <w:sz w:val="18"/>
          <w:lang w:val="hy-AM"/>
        </w:rPr>
      </w:pPr>
    </w:p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</w:p>
    <w:p w:rsidR="00D55146" w:rsidRPr="007010CE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D55146" w:rsidRPr="007010CE" w:rsidRDefault="00D55146" w:rsidP="00D55146">
      <w:pPr>
        <w:jc w:val="right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                                                            ՀՀ դրամ</w:t>
      </w:r>
    </w:p>
    <w:tbl>
      <w:tblPr>
        <w:tblW w:w="312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34"/>
        <w:gridCol w:w="2551"/>
        <w:gridCol w:w="579"/>
        <w:gridCol w:w="1137"/>
        <w:gridCol w:w="1119"/>
        <w:gridCol w:w="1559"/>
        <w:gridCol w:w="850"/>
        <w:gridCol w:w="6"/>
        <w:gridCol w:w="986"/>
        <w:gridCol w:w="6"/>
        <w:gridCol w:w="850"/>
        <w:gridCol w:w="1139"/>
        <w:gridCol w:w="992"/>
        <w:gridCol w:w="6"/>
        <w:gridCol w:w="986"/>
        <w:gridCol w:w="6"/>
        <w:gridCol w:w="1261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</w:tblGrid>
      <w:tr w:rsidR="00D55146" w:rsidRPr="00DE1E5A" w:rsidTr="00CD7BFB">
        <w:trPr>
          <w:gridAfter w:val="12"/>
          <w:wAfter w:w="15204" w:type="dxa"/>
        </w:trPr>
        <w:tc>
          <w:tcPr>
            <w:tcW w:w="16019" w:type="dxa"/>
            <w:gridSpan w:val="18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D55146" w:rsidRPr="00DE1E5A" w:rsidTr="002A6A92">
        <w:trPr>
          <w:gridAfter w:val="12"/>
          <w:wAfter w:w="15204" w:type="dxa"/>
          <w:trHeight w:val="219"/>
        </w:trPr>
        <w:tc>
          <w:tcPr>
            <w:tcW w:w="852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1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57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815" w:type="dxa"/>
            <w:gridSpan w:val="3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251" w:type="dxa"/>
            <w:gridSpan w:val="5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D55146" w:rsidRPr="00DE1E5A" w:rsidTr="002A6A92">
        <w:trPr>
          <w:gridAfter w:val="12"/>
          <w:wAfter w:w="15204" w:type="dxa"/>
          <w:trHeight w:val="1277"/>
        </w:trPr>
        <w:tc>
          <w:tcPr>
            <w:tcW w:w="852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15" w:type="dxa"/>
            <w:gridSpan w:val="3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261" w:type="dxa"/>
            <w:vMerge w:val="restart"/>
            <w:vAlign w:val="center"/>
          </w:tcPr>
          <w:p w:rsidR="00D55146" w:rsidRPr="002D6562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55146" w:rsidRPr="00DE1E5A" w:rsidTr="002A6A92">
        <w:trPr>
          <w:gridAfter w:val="12"/>
          <w:wAfter w:w="15204" w:type="dxa"/>
          <w:trHeight w:val="877"/>
        </w:trPr>
        <w:tc>
          <w:tcPr>
            <w:tcW w:w="852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D55146" w:rsidRPr="00515EF1" w:rsidRDefault="00D55146" w:rsidP="00CD7BFB">
            <w:pPr>
              <w:ind w:left="113" w:right="113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Դեղաձևը</w:t>
            </w:r>
          </w:p>
          <w:p w:rsidR="00D55146" w:rsidRPr="00515EF1" w:rsidRDefault="00D55146" w:rsidP="00CD7BFB">
            <w:pPr>
              <w:rPr>
                <w:rFonts w:ascii="Arial Unicode" w:hAnsi="Arial Unicode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Դեղաչափը և թողարկման ձևը (փաթեթավորումը)</w:t>
            </w:r>
          </w:p>
        </w:tc>
        <w:tc>
          <w:tcPr>
            <w:tcW w:w="155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Պահպանման նշանների առկայությունը</w:t>
            </w: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D7BFB" w:rsidRPr="00D0073A" w:rsidTr="002A6A92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33661136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դիազեպամ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diazepam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/n05ba01</w:t>
            </w:r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լուծույթ մ/մ և </w:t>
            </w:r>
            <w:r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ն/ե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10մգ/2մլ, 2մլ սրվակ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 պահպանել 15˚-25˚ C-ի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2A6A92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5</w:t>
            </w:r>
            <w:r w:rsidR="00CD7BFB">
              <w:rPr>
                <w:rFonts w:ascii="GHEA Grapalat" w:hAnsi="GHEA Grapalat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2A6A92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5</w:t>
            </w:r>
            <w:r w:rsidR="00CD7BFB">
              <w:rPr>
                <w:rFonts w:ascii="GHEA Grapalat" w:hAnsi="GHEA Grapalat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67" w:type="dxa"/>
            <w:gridSpan w:val="2"/>
          </w:tcPr>
          <w:p w:rsidR="00CD7BFB" w:rsidRPr="00515EF1" w:rsidRDefault="00CD7BFB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="002A6A92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2A6A92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33661139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հալոպերիդոլ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haloperidol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/n05ad01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մ/մ և ն/ե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սրվակներ</w:t>
            </w:r>
            <w:proofErr w:type="spellEnd"/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67" w:type="dxa"/>
            <w:gridSpan w:val="2"/>
          </w:tcPr>
          <w:p w:rsidR="00982027" w:rsidRPr="00982027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8D5DED" w:rsidRPr="00D0073A" w:rsidTr="00CF4CA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8D5DED" w:rsidRDefault="008D5DED" w:rsidP="008D5DE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bookmarkStart w:id="0" w:name="_GoBack" w:colFirst="13" w:colLast="13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D5DED" w:rsidRDefault="008D5DED" w:rsidP="008D5DE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33691197</w:t>
            </w:r>
          </w:p>
        </w:tc>
        <w:tc>
          <w:tcPr>
            <w:tcW w:w="2551" w:type="dxa"/>
            <w:vAlign w:val="center"/>
          </w:tcPr>
          <w:p w:rsidR="008D5DED" w:rsidRDefault="008D5DED" w:rsidP="008D5DED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լևոմեպրոմազին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N05AA02  </w:t>
            </w:r>
          </w:p>
        </w:tc>
        <w:tc>
          <w:tcPr>
            <w:tcW w:w="579" w:type="dxa"/>
            <w:vAlign w:val="center"/>
          </w:tcPr>
          <w:p w:rsidR="008D5DED" w:rsidRPr="00515EF1" w:rsidRDefault="008D5DED" w:rsidP="008D5DE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8D5DED" w:rsidRDefault="008D5DED" w:rsidP="008D5DE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թաղանթապատ</w:t>
            </w:r>
            <w:proofErr w:type="spellEnd"/>
          </w:p>
        </w:tc>
        <w:tc>
          <w:tcPr>
            <w:tcW w:w="1119" w:type="dxa"/>
            <w:vAlign w:val="center"/>
          </w:tcPr>
          <w:p w:rsidR="008D5DED" w:rsidRDefault="008D5DED" w:rsidP="008D5DE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25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1559" w:type="dxa"/>
            <w:vAlign w:val="center"/>
          </w:tcPr>
          <w:p w:rsidR="008D5DED" w:rsidRDefault="008D5DED" w:rsidP="008D5DE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15˚- 25˚C-ի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8D5DED" w:rsidRDefault="008D5DED" w:rsidP="008D5DE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8D5DED" w:rsidRDefault="008D5DED" w:rsidP="008D5DE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8D5DED" w:rsidRPr="00515EF1" w:rsidRDefault="008D5DED" w:rsidP="008D5DE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8D5DED" w:rsidRDefault="008D5DED" w:rsidP="008D5DE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2" w:type="dxa"/>
            <w:vAlign w:val="center"/>
          </w:tcPr>
          <w:p w:rsidR="008D5DED" w:rsidRPr="00515EF1" w:rsidRDefault="008D5DED" w:rsidP="008D5DED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8D5DED" w:rsidRDefault="008D5DED" w:rsidP="008D5DE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7" w:type="dxa"/>
            <w:gridSpan w:val="2"/>
            <w:vAlign w:val="center"/>
          </w:tcPr>
          <w:p w:rsidR="008D5DED" w:rsidRPr="00515EF1" w:rsidRDefault="008D5DED" w:rsidP="008D5DE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bookmarkEnd w:id="0"/>
      <w:tr w:rsidR="00982027" w:rsidRPr="00D0073A" w:rsidTr="00D0658B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33691197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լևոմեպրոմազին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N05AA02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կաթիլաներարկման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2մլ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33661141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ֆլուֆենազին (ֆլուֆենազինի 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դեկանոատ)/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n05ab02  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 ամպուլներ 1մլ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8-25 C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33661140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քլորպրոմազին (քլորպրոմազինի հիդրոքլորիդ) n05aa01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25մգ/մլ; ամպուլներ 2մլ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է: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բաժանելի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200մգ  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30˚ C-ից ցածր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100մգ/2մլ,2մլ ամպուլներ 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կոտրվող է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1267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բաժանելի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200մգ  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30˚ C-ից ցածր պայմաններում: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982027" w:rsidRPr="00D0073A" w:rsidTr="001E75EA">
        <w:trPr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33691196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ռիսպերիդոն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ներքին ընդունման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1մգ/մլ; 30մլ ապակե սրվակ և կաթոցիկ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լոտրվող է, պահպանել 2-8˚C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1267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100մգ/2մլ,2մլ ամպուլներ 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կոտրվող է պահպանել 25˚ C-ից ցածր պայմաններում: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126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33621330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նիկեթամիդ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250մգ/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մլ;  ամպուլներ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2մլ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 xml:space="preserve">է կրակից, կոտրվող է,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-25˚ C-ից ցածր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</w:t>
            </w: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lastRenderedPageBreak/>
              <w:t>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33611370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թիամին (թիամինի քլորիդ.) 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chlorid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   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5%/1մլ / a11da01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մ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/մ 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50մգ/մլ,1մլ սրվակ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33611350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ascorbic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և ն/ե ներարկումների համար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50մգ/մլ, 2մլ ամպուլներ 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33611341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թիամին (թիամինի հիդրոքլորիդ), պիրիդoքսին (պիրիդօքսինի հիդրոքլորիդ), ցիանոկոբալամին)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100մգ/2մլ+100մգ/2մլ+1մգ/2մլ+20մգ/2մլ;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33611390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պիրիդօքսին (պիրիդօքսինի հիդրոքլորիդ)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^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մ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/մ, ն/ե և  ե/մ 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50մգ/մլ; ամպուլներ 1մլ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33691224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մելդոնիում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meldonium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C01EB            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դեղապատիճներ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500մգ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դեղապատիճ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</w:t>
            </w: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lastRenderedPageBreak/>
              <w:t>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ցիտրատ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անջուր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գլյուկոզ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D55146"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Ռեհիդրոն</w:t>
            </w:r>
            <w:proofErr w:type="spellEnd"/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դեղաչափված</w:t>
            </w:r>
            <w:proofErr w:type="spellEnd"/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3,5գ+2,5գ+2,9գ+10գ; (20)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18,9գ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33691731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դիոսմեկտիտ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դեղափոշի ներքին ընդունման դեղակախույթի նարնջի համով 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գ;  փաթեթիկներ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3.76գ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փաթեթիկ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33621250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դեքստրան 70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լուծույթ կաթիլաներարկման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60մգ/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մլ;  500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 պլաստիկե փաթեթ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կրակից,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25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C-ից ցածր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պ/փ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33621290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էպինեֆրին (էպինեֆրինի հիդրոտարտրատ)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1,82մգ/մլ; ամպուլներ 1մլ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է: 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8D5DED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  <w:p w:rsidR="00982027" w:rsidRPr="00A55AB0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33621360</w:t>
            </w:r>
          </w:p>
        </w:tc>
        <w:tc>
          <w:tcPr>
            <w:tcW w:w="2551" w:type="dxa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  <w:p w:rsidR="00982027" w:rsidRPr="000F0A4B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թիոսուլֆատ</w:t>
            </w:r>
            <w:proofErr w:type="spellEnd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 </w:t>
            </w:r>
            <w:proofErr w:type="spellStart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sodium</w:t>
            </w:r>
            <w:proofErr w:type="spellEnd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thiosulfate</w:t>
            </w:r>
            <w:proofErr w:type="spellEnd"/>
          </w:p>
        </w:tc>
        <w:tc>
          <w:tcPr>
            <w:tcW w:w="579" w:type="dxa"/>
          </w:tcPr>
          <w:p w:rsidR="00982027" w:rsidRPr="000F0A4B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gramStart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ն</w:t>
            </w:r>
            <w:proofErr w:type="gramEnd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/ե ներարկմա</w:t>
            </w: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ն</w:t>
            </w:r>
          </w:p>
        </w:tc>
        <w:tc>
          <w:tcPr>
            <w:tcW w:w="1119" w:type="dxa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300մգ/</w:t>
            </w:r>
            <w:proofErr w:type="gramStart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մլ,   </w:t>
            </w:r>
            <w:proofErr w:type="gramEnd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5մլ</w:t>
            </w:r>
          </w:p>
        </w:tc>
        <w:tc>
          <w:tcPr>
            <w:tcW w:w="1559" w:type="dxa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F0A4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r w:rsidRPr="000F0A4B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 xml:space="preserve">լույսից, կոտրվող </w:t>
            </w:r>
            <w:proofErr w:type="gramStart"/>
            <w:r w:rsidRPr="000F0A4B"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 w:rsidRPr="000F0A4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</w:t>
            </w:r>
          </w:p>
        </w:tc>
        <w:tc>
          <w:tcPr>
            <w:tcW w:w="850" w:type="dxa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982027" w:rsidRPr="000F0A4B" w:rsidRDefault="00982027" w:rsidP="00982027">
            <w:pPr>
              <w:jc w:val="center"/>
              <w:rPr>
                <w:sz w:val="18"/>
                <w:szCs w:val="18"/>
              </w:rPr>
            </w:pPr>
            <w:r w:rsidRPr="000F0A4B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</w:t>
            </w:r>
            <w:r w:rsidRPr="000F0A4B">
              <w:rPr>
                <w:rFonts w:ascii="Arial Unicode" w:hAnsi="Arial Unicode"/>
                <w:sz w:val="18"/>
                <w:szCs w:val="18"/>
                <w:lang w:val="pt-BR"/>
              </w:rPr>
              <w:lastRenderedPageBreak/>
              <w:t>ի 57</w:t>
            </w:r>
          </w:p>
        </w:tc>
        <w:tc>
          <w:tcPr>
            <w:tcW w:w="992" w:type="dxa"/>
            <w:gridSpan w:val="2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Default="008D5DED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33691210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ստրոֆանտին-G</w:t>
            </w:r>
          </w:p>
        </w:tc>
        <w:tc>
          <w:tcPr>
            <w:tcW w:w="579" w:type="dxa"/>
          </w:tcPr>
          <w:p w:rsidR="00982027" w:rsidRPr="000F0A4B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0,25մգ/մլ, ամպուլներ 1մլ 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լոտրվող է, պահպանել 2-8˚C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</w:t>
            </w: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82027" w:rsidRPr="000F0A4B" w:rsidRDefault="00982027" w:rsidP="00982027">
            <w:pPr>
              <w:jc w:val="center"/>
              <w:rPr>
                <w:sz w:val="18"/>
                <w:szCs w:val="18"/>
              </w:rPr>
            </w:pPr>
            <w:r w:rsidRPr="000F0A4B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Pr="000F0A4B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</w:t>
            </w: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982027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982027" w:rsidRPr="00A55AB0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  <w:r w:rsidR="008D5D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982027" w:rsidRDefault="00982027" w:rsidP="0098202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ալյումինիումի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ֆոսֆատ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aluminium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phosphate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9" w:type="dxa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դոնդող ներքին ընդունման</w:t>
            </w:r>
          </w:p>
        </w:tc>
        <w:tc>
          <w:tcPr>
            <w:tcW w:w="111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10400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մգ,   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16գ փաթեթիկներ </w:t>
            </w:r>
          </w:p>
        </w:tc>
        <w:tc>
          <w:tcPr>
            <w:tcW w:w="155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`  վախենում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խոնավությունից,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982027" w:rsidRPr="00515EF1" w:rsidRDefault="00982027" w:rsidP="00982027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82027" w:rsidRDefault="00982027" w:rsidP="009820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7" w:type="dxa"/>
            <w:gridSpan w:val="2"/>
            <w:vAlign w:val="center"/>
          </w:tcPr>
          <w:p w:rsidR="00982027" w:rsidRPr="00515EF1" w:rsidRDefault="00982027" w:rsidP="0098202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</w:tbl>
    <w:p w:rsidR="00D55146" w:rsidRPr="00E52EA3" w:rsidRDefault="00D55146" w:rsidP="00D55146">
      <w:pPr>
        <w:jc w:val="center"/>
        <w:rPr>
          <w:rFonts w:ascii="GHEA Grapalat" w:hAnsi="GHEA Grapalat"/>
          <w:sz w:val="20"/>
        </w:rPr>
      </w:pPr>
    </w:p>
    <w:tbl>
      <w:tblPr>
        <w:tblW w:w="14980" w:type="dxa"/>
        <w:tblInd w:w="95" w:type="dxa"/>
        <w:tblLook w:val="04A0" w:firstRow="1" w:lastRow="0" w:firstColumn="1" w:lastColumn="0" w:noHBand="0" w:noVBand="1"/>
      </w:tblPr>
      <w:tblGrid>
        <w:gridCol w:w="14980"/>
      </w:tblGrid>
      <w:tr w:rsidR="00A63094" w:rsidRPr="00A63094" w:rsidTr="00A63094">
        <w:trPr>
          <w:trHeight w:val="660"/>
        </w:trPr>
        <w:tc>
          <w:tcPr>
            <w:tcW w:w="14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1. Տվյալ գնման շրջանակներում ընդգրկված դեղորայքի համար ներկայացվող տեխնիկական բնութագրերը կազմված են ՀՀ </w:t>
            </w:r>
            <w:proofErr w:type="gram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կառավարության  2013</w:t>
            </w:r>
            <w:proofErr w:type="gram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թ. մայիսի 2-ի թիվ 502-Ն որոշմամբ հաստատված կետերի  համաձայն, մասնավորապես</w:t>
            </w:r>
          </w:p>
        </w:tc>
      </w:tr>
      <w:tr w:rsidR="00A63094" w:rsidRPr="00A63094" w:rsidTr="00A63094">
        <w:trPr>
          <w:trHeight w:val="151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 Տեղափոխման պայմանները՝ Եթե դեղը պահանջում է պահպանման և տեղափոխման հատուկ ջերմային, խոնավության ռեժիմներ կամ պայմաններ` ապա այդ պայմանները պետք է համապատասխանեն Հայաստանի Հանրապետության առողջապահության նախարարի 2010 թվականի սեպտեմբերի 9-ի «Դեղերի փոխադրման, պահեստավորման և պահպանման կարգը սահմանելու մասին» N 17-Ն հրամանի պահանջներին:</w:t>
            </w:r>
          </w:p>
        </w:tc>
      </w:tr>
      <w:tr w:rsidR="00A63094" w:rsidRPr="00A63094" w:rsidTr="00A63094">
        <w:trPr>
          <w:trHeight w:val="184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** Պիտանելիության ժամկետները</w:t>
            </w:r>
            <w:proofErr w:type="gramStart"/>
            <w:r w:rsidRPr="00A63094">
              <w:rPr>
                <w:rFonts w:ascii="GHEA Grapalat" w:eastAsia="Times New Roman" w:hAnsi="GHEA Grapalat" w:cs="Calibri"/>
                <w:color w:val="000000"/>
              </w:rPr>
              <w:t>`  ա</w:t>
            </w:r>
            <w:proofErr w:type="gramEnd"/>
            <w:r w:rsidRPr="00A63094">
              <w:rPr>
                <w:rFonts w:ascii="GHEA Grapalat" w:eastAsia="Times New Roman" w:hAnsi="GHEA Grapalat" w:cs="Calibri"/>
                <w:color w:val="000000"/>
              </w:rPr>
              <w:t>. 2,5 տարվանից ավելի պիտանելիությն ժամկետ ունեցող դեղերը հանձման պահին պետք է ունենան առնվաղն 2 տարի պիտանելությն ժամկետ; բ. մինչև 2,5 տարի պիտանելիություն ունեցող դեղորը հանձման պահին պետք է ունենան դեղի ընդհանուր պիտանելիության ժամկետի առնվազն 2/3-</w:t>
            </w:r>
            <w:proofErr w:type="gramStart"/>
            <w:r w:rsidRPr="00A63094">
              <w:rPr>
                <w:rFonts w:ascii="GHEA Grapalat" w:eastAsia="Times New Roman" w:hAnsi="GHEA Grapalat" w:cs="Calibri"/>
                <w:color w:val="000000"/>
              </w:rPr>
              <w:t>ը;  գ</w:t>
            </w:r>
            <w:proofErr w:type="gramEnd"/>
            <w:r w:rsidRPr="00A63094">
              <w:rPr>
                <w:rFonts w:ascii="GHEA Grapalat" w:eastAsia="Times New Roman" w:hAnsi="GHEA Grapalat" w:cs="Calibri"/>
                <w:color w:val="000000"/>
              </w:rPr>
              <w:t xml:space="preserve">. առանձին դեպքերում, այն է` հիվանդների անհետաձգելի պահանջի բավարարման հիմնավորած անհրաժեշտությունը, դեղի սպառման համար սահմանված կարճ ժամկետները, դեղի հանձման պահին կարող է ունենալ դեղի ընդհանուր </w:t>
            </w:r>
            <w:proofErr w:type="spellStart"/>
            <w:r w:rsidRPr="00A63094">
              <w:rPr>
                <w:rFonts w:ascii="GHEA Grapalat" w:eastAsia="Times New Roman" w:hAnsi="GHEA Grapalat" w:cs="Calibri"/>
                <w:color w:val="000000"/>
              </w:rPr>
              <w:t>պիտանելիության</w:t>
            </w:r>
            <w:proofErr w:type="spellEnd"/>
            <w:r w:rsidRPr="00A63094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color w:val="000000"/>
              </w:rPr>
              <w:t>ժամկետի</w:t>
            </w:r>
            <w:proofErr w:type="spellEnd"/>
            <w:r w:rsidRPr="00A63094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color w:val="000000"/>
              </w:rPr>
              <w:t>աառնվազն</w:t>
            </w:r>
            <w:proofErr w:type="spellEnd"/>
            <w:r w:rsidRPr="00A63094">
              <w:rPr>
                <w:rFonts w:ascii="GHEA Grapalat" w:eastAsia="Times New Roman" w:hAnsi="GHEA Grapalat" w:cs="Calibri"/>
                <w:color w:val="000000"/>
              </w:rPr>
              <w:t xml:space="preserve"> 1/3-ը:</w:t>
            </w:r>
          </w:p>
          <w:p w:rsidR="008D5DED" w:rsidRDefault="008D5DED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  <w:p w:rsidR="008D5DED" w:rsidRDefault="008D5DED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  <w:p w:rsidR="008D5DED" w:rsidRDefault="008D5DED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  <w:p w:rsidR="008D5DED" w:rsidRDefault="008D5DED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  <w:p w:rsidR="008D5DED" w:rsidRPr="00A63094" w:rsidRDefault="008D5DED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D5DED">
              <w:rPr>
                <w:rFonts w:ascii="GHEA Grapalat" w:eastAsia="Times New Roman" w:hAnsi="GHEA Grapalat" w:cs="Calibri"/>
                <w:color w:val="000000"/>
              </w:rPr>
              <w:t>2.</w:t>
            </w:r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Տվյալ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մրցույթի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շրջանակներում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Մասնակիցը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կարող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է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առաջարկել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նաև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Հայաստանի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Հանրապետությունում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գրանցված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դեղեր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,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իսկ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«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Դեղերի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մասին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»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օրենքի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21-րդ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հոդվածի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6-րդ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մասի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1-ին, 4-րդ և 7-րդ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կետերում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նշված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դեպքերում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` 21-րդ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հոդվածի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8-րդ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մասի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17-րդ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կետով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սահմանված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ներմուծման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մերժման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հիմքերի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բացակայության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դեպքում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`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նաև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չգրանցված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դեղեր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: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Ընդ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որում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,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սույն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կետով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սահմանված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չգրանցված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դեղերը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պետք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է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գրանցված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լինեն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Հայաստանի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Հանրապետության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կառավարության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2017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թվականի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փետրվարի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23-ի N 172-Ա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որոշմամբ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սահմանված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միջազգային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մասնագիտական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կազմակերպության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կամ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ԵԱՏՄ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անդամ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հանդիսացող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երկրներում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կամ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ունենան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Առողջապահության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համաշխարհային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կազմակերպության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նախաորակավորում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color w:val="000000"/>
              </w:rPr>
              <w:t>:</w:t>
            </w:r>
            <w:r w:rsidRPr="008D5DED">
              <w:rPr>
                <w:rFonts w:ascii="GHEA Grapalat" w:eastAsia="Times New Roman" w:hAnsi="GHEA Grapalat" w:cs="Calibri"/>
                <w:color w:val="000000"/>
              </w:rPr>
              <w:t xml:space="preserve"> /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>Հիմք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 xml:space="preserve">՝ ՀՀ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>կառավարության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 xml:space="preserve"> 2013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>թվականի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>մայիսի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 xml:space="preserve"> 2-ի N 502-Ն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>որոշման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 xml:space="preserve">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>Հավելված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 xml:space="preserve">, </w:t>
            </w:r>
            <w:proofErr w:type="spellStart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>փոփ</w:t>
            </w:r>
            <w:proofErr w:type="spellEnd"/>
            <w:r w:rsidRPr="008D5DED">
              <w:rPr>
                <w:rFonts w:ascii="GHEA Grapalat" w:eastAsia="Times New Roman" w:hAnsi="GHEA Grapalat" w:cs="Calibri"/>
                <w:b/>
                <w:i/>
                <w:color w:val="000000"/>
              </w:rPr>
              <w:t>. 05.12.24 N 1919-Ն</w:t>
            </w:r>
            <w:r w:rsidRPr="008D5DED">
              <w:rPr>
                <w:rFonts w:ascii="GHEA Grapalat" w:eastAsia="Times New Roman" w:hAnsi="GHEA Grapalat" w:cs="Calibri"/>
                <w:color w:val="000000"/>
              </w:rPr>
              <w:t>/:</w:t>
            </w:r>
          </w:p>
        </w:tc>
      </w:tr>
      <w:tr w:rsidR="00A63094" w:rsidRPr="00A63094" w:rsidTr="00A63094">
        <w:trPr>
          <w:trHeight w:val="190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lastRenderedPageBreak/>
              <w:t>3.Մատակարարումը իրականացվում է ըստ պատվիրատուի կողմից ներկայացվող քանակների և մատակարարման ժամկետների, նկատի ունենալով, որ մատակարարման առաջին պատվերի տրամադրման և մատակարարման միջև ընկած ժամանակահատվածը չի կարող պակաս լինել 30 աշխատանքային օրից, եթե  մատակարարը չի համաձայնվում մատակարարումն իրականացնել ավելի կարճ ժամկետում: Ընդ որում հաջորդող պատվերների մատակարարումներն իրականացվում են պատվերի ներկայացմանը հաջորդող 2 օրվա ընթացքում: Պայմանագիրը գործելու է մինչև 2025թ. դեկտեմբերի 25-ը: Մատակարարման վայրը` ք.Վանաձոր, Գ.Նժդեհի 57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:</w:t>
            </w:r>
          </w:p>
        </w:tc>
      </w:tr>
      <w:tr w:rsidR="00A63094" w:rsidRPr="00A63094" w:rsidTr="00A63094">
        <w:trPr>
          <w:trHeight w:val="106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982027">
              <w:rPr>
                <w:rFonts w:ascii="GHEA Grapalat" w:eastAsia="Times New Roman" w:hAnsi="GHEA Grapalat" w:cs="Calibri"/>
                <w:b/>
                <w:bCs/>
                <w:color w:val="000000"/>
              </w:rPr>
              <w:t>4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.  Մատակարարը իր ուժերով և միջոցներով պետք է ապահովի ապրանքների տեղափոխումը, բեռնաթափումը: Ապրանքի վար պարտադիր պետք է լինի ֆիրմայի նշանը, այն պետք է լինի փաթեթավորված և չվնասված:</w:t>
            </w:r>
          </w:p>
        </w:tc>
      </w:tr>
      <w:tr w:rsidR="00A63094" w:rsidRPr="00A63094" w:rsidTr="00A63094">
        <w:trPr>
          <w:trHeight w:val="1110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8D5DE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5.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Թիվ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1-</w:t>
            </w:r>
            <w:r w:rsidR="008D5DED">
              <w:rPr>
                <w:rFonts w:ascii="GHEA Grapalat" w:eastAsia="Times New Roman" w:hAnsi="GHEA Grapalat" w:cs="Calibri"/>
                <w:b/>
                <w:bCs/>
                <w:color w:val="000000"/>
              </w:rPr>
              <w:t>6</w:t>
            </w:r>
            <w:r w:rsidR="003D4842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3D4842">
              <w:rPr>
                <w:rFonts w:ascii="GHEA Grapalat" w:eastAsia="Times New Roman" w:hAnsi="GHEA Grapalat" w:cs="Calibri"/>
                <w:b/>
                <w:bCs/>
                <w:color w:val="000000"/>
              </w:rPr>
              <w:t>չափաբաժինների</w:t>
            </w:r>
            <w:proofErr w:type="spellEnd"/>
            <w:r w:rsidR="003D4842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3D4842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համար</w:t>
            </w:r>
            <w:proofErr w:type="spellEnd"/>
            <w:r w:rsidR="003D4842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8D5DED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հաղթող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մասնակիցը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պիտի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ներկայացնի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Թմրամիջոցների կամ հոգեմետ նյութերի կամ Հայաստանի Հանրապետության կառավարության սահմանած դրանց պրեկուրսորների ներմուծում, արտահանում կամ մեծածախ առևտուր իրականացնելու լիցենզիա:</w:t>
            </w:r>
          </w:p>
        </w:tc>
      </w:tr>
    </w:tbl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</w:p>
    <w:p w:rsidR="00D55146" w:rsidRPr="00D55146" w:rsidRDefault="00D55146" w:rsidP="00D55146">
      <w:pPr>
        <w:pStyle w:val="3"/>
        <w:spacing w:line="240" w:lineRule="auto"/>
        <w:jc w:val="left"/>
        <w:rPr>
          <w:rFonts w:ascii="GHEA Grapalat" w:hAnsi="GHEA Grapalat"/>
          <w:b/>
          <w:lang w:val="ru-RU"/>
        </w:rPr>
      </w:pPr>
    </w:p>
    <w:p w:rsidR="00421A30" w:rsidRDefault="00421A30"/>
    <w:sectPr w:rsidR="00421A30" w:rsidSect="00A63094">
      <w:pgSz w:w="16838" w:h="11906" w:orient="landscape"/>
      <w:pgMar w:top="850" w:right="1245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BF0DB6"/>
    <w:multiLevelType w:val="multilevel"/>
    <w:tmpl w:val="714E60E0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87018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0"/>
  </w:num>
  <w:num w:numId="4">
    <w:abstractNumId w:val="17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7"/>
  </w:num>
  <w:num w:numId="12">
    <w:abstractNumId w:val="31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10"/>
  </w:num>
  <w:num w:numId="29">
    <w:abstractNumId w:val="13"/>
  </w:num>
  <w:num w:numId="30">
    <w:abstractNumId w:val="21"/>
  </w:num>
  <w:num w:numId="31">
    <w:abstractNumId w:val="8"/>
  </w:num>
  <w:num w:numId="32">
    <w:abstractNumId w:val="29"/>
  </w:num>
  <w:num w:numId="33">
    <w:abstractNumId w:val="26"/>
  </w:num>
  <w:num w:numId="34">
    <w:abstractNumId w:val="11"/>
  </w:num>
  <w:num w:numId="35">
    <w:abstractNumId w:val="1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55146"/>
    <w:rsid w:val="001E75EA"/>
    <w:rsid w:val="002A6A92"/>
    <w:rsid w:val="002B0942"/>
    <w:rsid w:val="003B2E3E"/>
    <w:rsid w:val="003D4842"/>
    <w:rsid w:val="00421A30"/>
    <w:rsid w:val="0044422E"/>
    <w:rsid w:val="00526C71"/>
    <w:rsid w:val="007167D8"/>
    <w:rsid w:val="007244A2"/>
    <w:rsid w:val="008D5DED"/>
    <w:rsid w:val="00982027"/>
    <w:rsid w:val="00A55AB0"/>
    <w:rsid w:val="00A63094"/>
    <w:rsid w:val="00B96AC7"/>
    <w:rsid w:val="00CC30C8"/>
    <w:rsid w:val="00CD7BFB"/>
    <w:rsid w:val="00D55146"/>
    <w:rsid w:val="00D6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8D169-A50F-49DB-A6A7-B8B3957B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AC7"/>
  </w:style>
  <w:style w:type="paragraph" w:styleId="1">
    <w:name w:val="heading 1"/>
    <w:basedOn w:val="a"/>
    <w:next w:val="a"/>
    <w:link w:val="10"/>
    <w:qFormat/>
    <w:rsid w:val="00D55146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D55146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D55146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D55146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D55146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D55146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D55146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D55146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paragraph" w:styleId="9">
    <w:name w:val="heading 9"/>
    <w:basedOn w:val="a"/>
    <w:next w:val="a"/>
    <w:link w:val="90"/>
    <w:qFormat/>
    <w:rsid w:val="00D55146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146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D55146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D55146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D55146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D55146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D55146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D55146"/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character" w:customStyle="1" w:styleId="90">
    <w:name w:val="Заголовок 9 Знак"/>
    <w:basedOn w:val="a0"/>
    <w:link w:val="9"/>
    <w:rsid w:val="00D55146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Body Text Indent"/>
    <w:aliases w:val=" Char, Char Char Char Char,Char Char Char Char"/>
    <w:basedOn w:val="a"/>
    <w:link w:val="a4"/>
    <w:rsid w:val="00D5514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5">
    <w:name w:val="footer"/>
    <w:basedOn w:val="a"/>
    <w:link w:val="a6"/>
    <w:rsid w:val="00D5514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D5514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D55146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D55146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D55146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D55146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D5514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D55146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D55146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D55146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D5514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en-US"/>
    </w:rPr>
  </w:style>
  <w:style w:type="character" w:customStyle="1" w:styleId="a8">
    <w:name w:val="Текст выноски Знак"/>
    <w:basedOn w:val="a0"/>
    <w:link w:val="a7"/>
    <w:rsid w:val="00D55146"/>
    <w:rPr>
      <w:rFonts w:ascii="Tahoma" w:eastAsia="Times New Roman" w:hAnsi="Tahoma" w:cs="Times New Roman"/>
      <w:sz w:val="16"/>
      <w:szCs w:val="16"/>
      <w:lang w:val="en-US" w:eastAsia="en-US"/>
    </w:rPr>
  </w:style>
  <w:style w:type="character" w:styleId="a9">
    <w:name w:val="Hyperlink"/>
    <w:rsid w:val="00D55146"/>
    <w:rPr>
      <w:color w:val="0000FF"/>
      <w:u w:val="single"/>
    </w:rPr>
  </w:style>
  <w:style w:type="character" w:customStyle="1" w:styleId="CharChar1">
    <w:name w:val="Char Char1"/>
    <w:locked/>
    <w:rsid w:val="00D55146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D55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rsid w:val="00D551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D5514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c">
    <w:name w:val="index heading"/>
    <w:basedOn w:val="a"/>
    <w:next w:val="11"/>
    <w:semiHidden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d">
    <w:name w:val="header"/>
    <w:basedOn w:val="a"/>
    <w:link w:val="ae"/>
    <w:rsid w:val="00D551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e">
    <w:name w:val="Верхний колонтитул Знак"/>
    <w:basedOn w:val="a0"/>
    <w:link w:val="ad"/>
    <w:rsid w:val="00D551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D55146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D55146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">
    <w:name w:val="Title"/>
    <w:basedOn w:val="a"/>
    <w:link w:val="af0"/>
    <w:qFormat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0">
    <w:name w:val="Название Знак"/>
    <w:basedOn w:val="a0"/>
    <w:link w:val="af"/>
    <w:rsid w:val="00D55146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1">
    <w:name w:val="page number"/>
    <w:basedOn w:val="a0"/>
    <w:rsid w:val="00D55146"/>
  </w:style>
  <w:style w:type="paragraph" w:styleId="af2">
    <w:name w:val="footnote text"/>
    <w:basedOn w:val="a"/>
    <w:link w:val="af3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D551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D5514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D55146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D55146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D5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5">
    <w:name w:val="Strong"/>
    <w:uiPriority w:val="22"/>
    <w:qFormat/>
    <w:rsid w:val="00D55146"/>
    <w:rPr>
      <w:b/>
      <w:bCs/>
    </w:rPr>
  </w:style>
  <w:style w:type="character" w:styleId="af6">
    <w:name w:val="footnote reference"/>
    <w:semiHidden/>
    <w:rsid w:val="00D55146"/>
    <w:rPr>
      <w:vertAlign w:val="superscript"/>
    </w:rPr>
  </w:style>
  <w:style w:type="character" w:customStyle="1" w:styleId="CharChar22">
    <w:name w:val="Char Char22"/>
    <w:rsid w:val="00D55146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D55146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D55146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D55146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D55146"/>
    <w:rPr>
      <w:rFonts w:ascii="Arial Armenian" w:hAnsi="Arial Armenian"/>
      <w:lang w:val="en-US"/>
    </w:rPr>
  </w:style>
  <w:style w:type="character" w:styleId="af7">
    <w:name w:val="annotation reference"/>
    <w:semiHidden/>
    <w:rsid w:val="00D55146"/>
    <w:rPr>
      <w:sz w:val="16"/>
      <w:szCs w:val="16"/>
    </w:rPr>
  </w:style>
  <w:style w:type="paragraph" w:styleId="af8">
    <w:name w:val="annotation text"/>
    <w:basedOn w:val="a"/>
    <w:link w:val="af9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9">
    <w:name w:val="Текст примечания Знак"/>
    <w:basedOn w:val="a0"/>
    <w:link w:val="af8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a">
    <w:name w:val="annotation subject"/>
    <w:basedOn w:val="af8"/>
    <w:next w:val="af8"/>
    <w:link w:val="afb"/>
    <w:semiHidden/>
    <w:rsid w:val="00D55146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D55146"/>
    <w:rPr>
      <w:rFonts w:ascii="Times Armenian" w:eastAsia="Times New Roman" w:hAnsi="Times Armenian" w:cs="Times New Roman"/>
      <w:b/>
      <w:bCs/>
      <w:sz w:val="20"/>
      <w:szCs w:val="20"/>
      <w:lang w:val="en-US"/>
    </w:rPr>
  </w:style>
  <w:style w:type="paragraph" w:styleId="afc">
    <w:name w:val="endnote text"/>
    <w:basedOn w:val="a"/>
    <w:link w:val="afd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d">
    <w:name w:val="Текст концевой сноски Знак"/>
    <w:basedOn w:val="a0"/>
    <w:link w:val="afc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e">
    <w:name w:val="endnote reference"/>
    <w:semiHidden/>
    <w:rsid w:val="00D55146"/>
    <w:rPr>
      <w:vertAlign w:val="superscript"/>
    </w:rPr>
  </w:style>
  <w:style w:type="paragraph" w:styleId="aff">
    <w:name w:val="Document Map"/>
    <w:basedOn w:val="a"/>
    <w:link w:val="aff0"/>
    <w:semiHidden/>
    <w:rsid w:val="00D5514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0">
    <w:name w:val="Схема документа Знак"/>
    <w:basedOn w:val="a0"/>
    <w:link w:val="aff"/>
    <w:semiHidden/>
    <w:rsid w:val="00D5514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1">
    <w:name w:val="Revision"/>
    <w:hidden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2">
    <w:name w:val="Table Grid"/>
    <w:basedOn w:val="a1"/>
    <w:uiPriority w:val="39"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D5514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D55146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customStyle="1" w:styleId="CharChar25">
    <w:name w:val="Char Char25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D55146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D55146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D55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D5514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D5514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D5514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D55146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D55146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D55146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D55146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ff4">
    <w:name w:val="Абзац списка Знак"/>
    <w:link w:val="aff3"/>
    <w:uiPriority w:val="34"/>
    <w:locked/>
    <w:rsid w:val="00D55146"/>
    <w:rPr>
      <w:rFonts w:ascii="Times Armenian" w:eastAsia="Times New Roman" w:hAnsi="Times Armenian" w:cs="Times New Roman"/>
      <w:sz w:val="24"/>
      <w:szCs w:val="24"/>
      <w:lang w:val="en-US"/>
    </w:rPr>
  </w:style>
  <w:style w:type="character" w:styleId="aff7">
    <w:name w:val="Emphasis"/>
    <w:qFormat/>
    <w:rsid w:val="00D55146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D55146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D551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dcterms:created xsi:type="dcterms:W3CDTF">2024-10-25T08:33:00Z</dcterms:created>
  <dcterms:modified xsi:type="dcterms:W3CDTF">2025-04-22T09:49:00Z</dcterms:modified>
</cp:coreProperties>
</file>