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ՄԱՏ-ԷԱՃԱՊՁԲ-30/25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Тендер на закупку лабораторного оборудования и расходных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+374010513019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ՄԱՏ-ԷԱՃԱՊՁԲ-30/25</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Тендер на закупку лабораторного оборудования и расходных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Тендер на закупку лабораторного оборудования и расходных материалов</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ՄԱՏ-ԷԱՃԱՊՁԲ-30/25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Тендер на закупку лабораторного оборудования и расходных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Стереомикроскоп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/шкаф для дезинфекции/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ՄԱՏ-ԷԱՃԱՊՁԲ-30/25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"ՄԱՏ-ԷԱՃԱՊՁԲ-30/25"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"ՄԱՏ-ԷԱՃԱՊՁԲ-30/25"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ՄԱՏ-ԷԱՃԱՊՁԲ-30/25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Стереомикроскоп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/шкаф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договора, за исключением случаев, когда выбранный участник соглашается начать предоставление услуги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договора, за исключением случаев, когда выбранный участник соглашается начать предоставление услуги в более ранний срок, до 2025 года. 1 ноября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договора, за исключением случаев, когда выбранный участник соглашается начать предоставление услуги в более ранний срок, до 2025 года. 1 ноября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Стереомикроскоп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/шкаф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