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ՂԵԿԱՎԱՐԻ ԲԱԶԿԱԹՈՌ ԵՎ ԳՐԱՍԵՆՅԱԿԱՅԻՆ 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ՂԵԿԱՎԱՐԻ ԲԱԶԿԱԹՈՌ ԵՎ ԳՐԱՍԵՆՅԱԿԱՅԻՆ 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ՂԵԿԱՎԱՐԻ ԲԱԶԿԱԹՈՌ ԵՎ ԳՐԱՍԵՆՅԱԿԱՅԻՆ 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ՂԵԿԱՎԱՐԻ ԲԱԶԿԱԹՈՌ ԵՎ ԳՐԱՍԵՆՅԱԿԱՅԻՆ 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հոլովակավոր,մետաղական հիմնակմաղքով, միմյանց կապակցված հինգ թևանի մետաղական խաչուկով, անիվները ռետինե, մեղմիչը նիկելապատ: Նստատեղում առկա է սպունգ, որը պաստառապատված է բարձր որակի  ցանցային կտորով: Թինակը ցանց, գլխի հատվածում առանձնացված է կաշվե փոխարինող, որը կարգավորվում է ինքնկպչուն ժապավենով: Արմկակալները մետաղական  պաստառապատված բարձր որակի էկո կաշվով: Թևերի միջև հեռավորությունը՝ 50սմ, նստատեղից մինչև թիկնակի վերին հատվածը՝ 84սմ, նստատեղի լայնություն՝ 46սմ, նստատեղի խորություն՝ 47սմ: Երաշխիք` 2 տարի: Դիզայնը և գույնը` պատվիրատուի հետ նախնական համաձայնեցմամբ: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երեսապատումը բնական կաշի, էրգոնոմիկ ձևավորված բարձր հետևամաս,  արմնկակալները՝  մետաղական,միաձուլված մեջքին, ոտքերը՝ մետաղյա՝ միաձուլված շարժական 5 պոլիուրիտանային անիվներով, մեջքը ծիլտ, ճոճվելու մեխանիզմը՝ բարձր հարմարավետությամբ և աշխատանքային 3 դիրքերում կարգավորելու հնարավորությամբ, շարժական հոլովակավոր, խաչուկը՝ քրոմապատ մետաղ, ամորտիզատոր՝ 3 դաս, անիվները` ստանդարտ, տրամագիծը 11մմ, հիմքը՝ մոնոլիտիկ, բազկաթոռի լցոնը՝ սպունգ, աթոռի ընդհանուր բարձրությունը՝ 1300մմ, առավելագույն ծանրությունը՝ 120կգ, գույնը՝ սև: Երաշխիք`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