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ՇՄԱՀ-ԷԱՃԾՁԲ-25/16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Շիրակի մարզ Արթիկի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Արթիկ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Շիրակի մարզի Արթիկ համայնքապետարանի կարիքների համար՝ Թափառող կենդանիների ստերջացման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Ղևոնդ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0244 5 20 21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xewond.grigoryan@mail.ru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Շիրակի մարզ Արթիկի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ՇՄԱՀ-ԷԱՃԾՁԲ-25/16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Շիրակի մարզ Արթիկի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Շիրակի մարզ Արթիկի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Շիրակի մարզի Արթիկ համայնքապետարանի կարիքների համար՝ Թափառող կենդանիների ստերջացման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Շիրակի մարզ Արթիկի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Շիրակի մարզի Արթիկ համայնքապետարանի կարիքների համար՝ Թափառող կենդանիների ստերջացման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ՇՄԱՀ-ԷԱՃԾՁԲ-25/16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xewond.grigoryan@mail.ru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Շիրակի մարզի Արթիկ համայնքապետարանի կարիքների համար՝ Թափառող կենդանիների ստերջացման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2025.05.12.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ՇՄԱՀ-ԷԱՃԾՁԲ-25/16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Շիրակի մարզ Արթիկի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ՇՄԱՀ-ԷԱՃԾՁԲ-25/16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«ՇՄԱՀ-ԷԱՃԾՁԲ-25/16»*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- 900202175049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«ՇՄԱՀ-ԷԱՃԾՁԲ-25/16»*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- 900202175049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ԱՐԹԻԿ ՀԱՄԱՅՆՔԻ ԿԱՐԻՔՆԵՐԻ ՀԱՄԱՐ ԹԱՓԱՌՈՂ ԿԵՆԴԱՆԻՆԵՐԻ ՍՏԵՐՋԱՑՄԱՆ ԾԱՌԱՅՈՒԹՅԱՆ ՏԵԽՆԻԿԱԿԱՆ ԲՆՈՒԹԱԳԻՐ 	
Սույն տեխնիկական բնութագրով նախատեսվող թափառող կենդանիների ստերջացման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կահավորված է անհրաժեշտ միջոցներով և հնարավորություն կտա պատշաճ ձևով կատարել թափառող շների ստերջացման/ամլացման ծառայությունները: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ստերջացում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մինչև 140 հատ, որից 85% էգ: Նախահաշվային արժեքը հաշվարկված է 140 շան համար: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Թափառող կենդանիների համայնքի տարածքից որսման, վիրահատման և բաց թողման գործընթացը իրականացվում է պարտադիր ֆոտոփաստագրմամբ, որը պետք է կցվի յուրաքանչյուր կենդանու բուժզննման թերթիկին և ներկայացվի պատվիրատուին՝ էլեկտրոնային կրիչի կամ փաստաթղթային տեսքով:
16.	Թափառող կենդանիների՝ համայնքի տարածքից բռնման և բաց թողնման գործընթացն իրականացնել համայնքի անասնաբույժի կամ պատասխանատու ստորաբաժանման աշխատակիցների պարտադիր ներկայությամբ: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ստերջացում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