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офисные стулья и кресла для нужд СК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Նարեկ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narek_petrosyan@armstat.am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ՎԿ-ԷԱՃԱՊՁԲ-2025/9</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офисные стулья и кресла для нужд СК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офисные стулья и кресла для нужд СК РА</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narek_petrosyan@armstat.am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офисные стулья и кресла для нужд СК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6 месяцев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подвижными роликами на пяти колесах,  соединенных между собой пятилучевой крестовиной. Сиденье заполнено губкой, что должно обеспечить достаточную мягкость и эластичность сиденья. Сиденье тканевое, спинка сетчатая, подлокотники пластиковые. Сиденье можно поднимать и опускать. Ширина сиденья: 48 см (допустимое отклонение: +, - 2 см), глубина: 47 см (допустимое отклонение: +, - 2 см). Высота стула: от пола до верха спинки (в поднятом положении) 95-100 см. Грузоподъемность: минимум 100 кг. Цвет: черный. Товар должен быть неиспользованным. Транспортировка, разгрузка и сборка товара (включая все необходимые материалы) осуществляется Продавцом за свой счет. Гарантийный срок на товар устанавливается не менее 6 месяцев со дня, следующего за днем приемки товара Статистическим комитетом. Внешний вид товара заранее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подвижными роликами на пяти колесах, соединенных между собой пятилучевой крестовиной. Сиденье и подголовник наполнены губкой, что должно обеспечить достаточную мягкость и эластичность сиденья и подголовника кресла. Сиденье тканевое, спинка сетчатая, подлокотники пластиковые.  Кресло поворотный, сиденье можно поднимать и опускать. Ширина сиденья: 50 см (допустимое отклонение: +, - 2 см), глубина: 47 см (допустимое отклонение: +, - 2 см). Высота кресла: от пола до верха спинки (в поднятом положении) 120-125 см. Грузоподъемность: не менее 120 кг. Цвет: черный. Товар должен быть неиспользованным. Транспортировка, разгрузка и сборка товара (включая все необходимые материалы) осуществляется Продавцом за свой счет. Гарантийный срок на товар устанавливается не менее 6 месяцев со дня, следующего за днем приемки товара Статистическим комитетом. Внешний вид товара заранее согласовывается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