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կոմիտեի կարիքների համար կենցաղային սառնարանների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Մարգարիտա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margarita_yesayan@armstat.am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վիճակագրական կոմիտեի կարիքների համար կենցաղային սառնարանների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վիճակագրական կոմիտեի կարիքների համար կենցաղային սառնարանների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margarita_yesayan@armstat.am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վիճակագրական կոմիտեի կարիքների համար կենցաղային սառնարանների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դասը՝ ստանդարտ, երկու դռնանի, սառցախցիկը վերին, սառեցման համակարգը դեֆրոստ (defrost), ընդհանուր ծավալը՝ 125-215 լիտր, Էներգախնայողության դաս` նվազագույնը A+, աղմուկ (dB)` 45 դեցիբելից ոչ ավել, սառնարանի բարձրություն` 120-145 սմ, գույնը՝ սպիտակ կամ արծաթագույն, սառնարանները պետք է լինեն նոր` չօգտագործված: Ապրանքների առաքումը և բեռնաթափումը իրականացվելու է Վաճառողի կողմից:  
Ապրանքների համար երաշխիքային ժամկետ է սահմանվում Վիճակագրական կոմիտեի կողմից ապրանքներն ընդունվելու օրվան հաջորդող օրվանից հաշված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մտնելուն հաջորդող օրվանից 25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