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2025.05.02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Фонд ЕГУ</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Ал. Манукяна 1</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Приобретение оборудования для нужд Фонда ЕГУ</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10:00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10</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10:00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10</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Мовсес Товмасян</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gnumner@ysu.am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060710009</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Фонд ЕГУ</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ԵՊՀ-ԷԱՃԱՊՁԲ-25/116</w:t>
      </w:r>
      <w:r w:rsidRPr="00F32D53">
        <w:rPr>
          <w:rFonts w:ascii="Calibri" w:hAnsi="Calibri" w:cstheme="minorHAnsi"/>
          <w:i/>
        </w:rPr>
        <w:br/>
      </w:r>
      <w:r w:rsidRPr="00F32D53">
        <w:rPr>
          <w:rFonts w:ascii="Calibri" w:hAnsi="Calibri" w:cstheme="minorHAnsi"/>
          <w:szCs w:val="20"/>
          <w:lang w:val="af-ZA"/>
        </w:rPr>
        <w:t>2025.05.02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Фонд ЕГУ</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Фонд ЕГУ</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Приобретение оборудования для нужд Фонда ЕГУ</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Приобретение оборудования для нужд Фонда ЕГУ</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Фонд ЕГУ</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ԵՊՀ-ԷԱՃԱՊՁԲ-25/116</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gnumner@ysu.am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Приобретение оборудования для нужд Фонда ЕГУ</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2</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Интерактивный экран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Моноблок i5/16 ГБ/512SSD/23.8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CB152C">
        <w:rPr>
          <w:lang w:val="ru-RU"/>
        </w:rPr>
        <w:t xml:space="preserve">Включение участника в список, предусмотренный пунктом 6 части 1 статьи 6 Закона, в </w:t>
      </w:r>
      <w:r w:rsidR="008512A9" w:rsidRPr="00CB152C">
        <w:rPr>
          <w:lang w:val="ru-RU"/>
        </w:rPr>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10:00</w:t>
      </w:r>
      <w:r w:rsidRPr="00F32D53">
        <w:rPr>
          <w:rFonts w:ascii="Calibri" w:hAnsi="Calibri" w:cstheme="minorHAnsi"/>
          <w:lang w:val="ru-RU"/>
        </w:rPr>
        <w:t>" часов "</w:t>
      </w:r>
      <w:r w:rsidR="003955D4" w:rsidRPr="00F32D53">
        <w:rPr>
          <w:rFonts w:ascii="Calibri" w:hAnsi="Calibri" w:cstheme="minorHAnsi"/>
          <w:lang w:val="af-ZA"/>
        </w:rPr>
        <w:t>10</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389.94</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4.8004</w:t>
      </w:r>
      <w:r w:rsidRPr="00F32D53">
        <w:rPr>
          <w:rFonts w:ascii="Calibri" w:hAnsi="Calibri" w:cstheme="minorHAnsi"/>
          <w:szCs w:val="22"/>
        </w:rPr>
        <w:t xml:space="preserve"> драмом, евро </w:t>
      </w:r>
      <w:r w:rsidR="00991780" w:rsidRPr="00F32D53">
        <w:rPr>
          <w:rFonts w:ascii="Calibri" w:hAnsi="Calibri" w:cstheme="minorHAnsi"/>
          <w:lang w:val="af-ZA"/>
        </w:rPr>
        <w:t>443.01</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2025.05.13. 10:00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w:t>
      </w:r>
      <w:r w:rsidR="00DD1BC0" w:rsidRPr="00DD1BC0">
        <w:rPr>
          <w:rFonts w:ascii="Calibri" w:hAnsi="Calibri" w:cstheme="minorHAnsi"/>
          <w:lang w:val="ru-RU"/>
        </w:rPr>
        <w:lastRenderedPageBreak/>
        <w:t xml:space="preserve">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rsidRPr="00CB152C">
        <w:rPr>
          <w:lang w:val="ru-RU"/>
        </w:rPr>
        <w:t xml:space="preserve">При этом, </w:t>
      </w:r>
      <w:r w:rsidR="00DC6D7C" w:rsidRPr="00DC6D7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DC6D7C">
        <w:rPr>
          <w:lang w:val="ru-RU"/>
        </w:rPr>
        <w:t xml:space="preserve"> </w:t>
      </w:r>
      <w:r w:rsidRPr="00CB152C">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w:t>
      </w:r>
      <w:r w:rsidRPr="00DD1BC0">
        <w:rPr>
          <w:rFonts w:ascii="Calibri" w:hAnsi="Calibri" w:cstheme="minorHAnsi"/>
          <w:iCs/>
          <w:lang w:val="ru-RU"/>
        </w:rPr>
        <w:lastRenderedPageBreak/>
        <w:t xml:space="preserve">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 xml:space="preserve">Обеспечение договора, представленное в виде наличных денег, должно быть перечислено на казначейский </w:t>
      </w:r>
      <w:r>
        <w:rPr>
          <w:rFonts w:ascii="Calibri" w:hAnsi="Calibri" w:cstheme="minorHAnsi"/>
          <w:lang w:val="ru-RU"/>
        </w:rPr>
        <w:lastRenderedPageBreak/>
        <w:t>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lastRenderedPageBreak/>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0" w:author="Inesa Kocharyan" w:date="2022-03-25T10:25:00Z"/>
          <w:rFonts w:ascii="Calibri" w:hAnsi="Calibri" w:cstheme="minorHAnsi"/>
          <w:lang w:val="hy-AM"/>
        </w:rPr>
      </w:pPr>
      <w:ins w:id="1"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2" w:author="Inesa Kocharyan" w:date="2022-03-25T10:25:00Z"/>
          <w:rFonts w:ascii="Calibri" w:hAnsi="Calibri" w:cstheme="minorHAnsi"/>
          <w:lang w:val="ru-RU"/>
        </w:rPr>
      </w:pPr>
      <w:r w:rsidRPr="000E5764">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lastRenderedPageBreak/>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00E93C04" w:rsidRPr="00F32D53">
        <w:rPr>
          <w:rFonts w:ascii="Calibri" w:hAnsi="Calibri" w:cstheme="minorHAnsi"/>
          <w:sz w:val="23"/>
          <w:szCs w:val="23"/>
          <w:lang w:val="af-ZA"/>
        </w:rPr>
        <w:t>ԵՊՀ-ԷԱՃԱՊՁԲ-25/116</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DC6D7C"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DC6D7C"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C6D7C"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C6D7C"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DC6D7C"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DC6D7C"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DC6D7C"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DC6D7C"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DC6D7C"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DC6D7C"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DC6D7C"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DC6D7C"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DC6D7C"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DC6D7C"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DC6D7C"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'ԵՊՀ-ԷԱՃԱՊՁԲ-25/116'</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ԵՊՀ-ԷԱՃԱՊՁԲ-25/116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Фонд ЕГУ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"ԵՊՀ-ԷԱՃԱՊՁԲ-25/116"*</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ԵՊՀ-ԷԱՃԱՊՁԲ-25/116</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DC6D7C">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ԵՊՀ-ԷԱՃԱՊՁԲ-25/116</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20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0.18(ноль целых восемнадцать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1</w:t>
      </w:r>
      <w:r w:rsidRPr="00F32D53">
        <w:rPr>
          <w:rFonts w:ascii="Calibri" w:hAnsi="Calibri" w:cstheme="minorHAnsi"/>
          <w:color w:val="000000" w:themeColor="text1"/>
          <w:lang w:val="ru-RU"/>
        </w:rPr>
        <w:t xml:space="preserve"> (</w:t>
      </w:r>
      <w:r w:rsidRPr="00F32D53">
        <w:rPr>
          <w:rFonts w:ascii="Calibri" w:hAnsi="Calibri" w:cstheme="minorHAnsi"/>
          <w:lang w:val="hy-AM"/>
        </w:rPr>
        <w:t>одного</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8.15.Ответственное подразделение: Фонд ЕГУ</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Интерактивный экран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Тип экрана. как минимум TFT LCD с прямой светодиодной подсветкой;
- Срок службы не менее ≥ 50 000 часов
- Тип стекла: не более 4 мм, матовое, закаленное, антиотпечатковое и противомикробное стекло, закаленное стекло уровня ≥7H (шкала твердости Мооса)
- Диагональ: не менее 86 дюймов (218,44 см),
- Разрешение: не менее собственного 4K/Ultra HD (3840 x 2160 пикселей),
- Соотношение сторон. 16:9;
- Цветопередача/Цвета отображения: не менее 1,07 млрд (10 бит);
- Яркость. не менее 400 кд/м2;
- Угол обзора: не менее 178˚;
- Динамический коэффициент контрастности: не менее 5000:1;
- Время отклика. не более 7мс,
- Тип датчика/Технология записи. Инфракрасный сенсорный экран,
- Не менее 20 одновременных касаний (ОС Android / Mac OS / Linux / Windows OS)
- Инструменты для сенсорного ввода: палец, пассивное перо, непрозрачные объекты / Инструменты для сенсорного ввода: палец, пассивное перо,
- Разрешение сенсорного экрана: 32 768 x 32 768 пикселей;
- Время отклика на прикосновение: не более 5 мс;
- Точность позиционирования/точность касания: 1 мм,
- Пишущие инструменты: пассивная ручка, пальцы и другие непрозрачные предметы,
- Количество ручек: 2 с магнитными держателями ручек (встроенные)
- Операционная система: не ниже Android 13.0, сертифицированная Google EDLA;
- ЦП: 4 х А76/А73/А72+ 4 х А55/А53;
- Графический процессор: Mali Odin G610 MC4/G52 MC3;
- Оперативная память: не менее 16 ГБ DDR4;
- Память: не менее 256 ГБ;
- Wi-Fi 6 (поддержка точки доступа) + модуль Bluetooth 5.2
- Встроенные динамики не менее 2 x 20 Вт
- Камера: минимум 4K / UHD (3840 x 2160 пикселей) 8 мегапикселей
- Микрофон: не менее 8 всенаправленных микрофонных решеток с дальностью действия 8 м
- Установлено лицензионное программное обеспечение для трансляции экрана с компьютеров, смарт-устройств по сети.
- Функция «Интерактивная доска»: не менее 2 независимых рабочих полей для одновременной работы 2 человек
- Умение делать заметки по представленному материалу
- Встроенное обновление программного обеспечения через беспроводное соединение (Android PC)
Входы/Выходы
Не менее 3 x HDMI (4K@60) входов, не менее 1 x HDMI (4K@60) выходов, не менее 1x DisplayPort, не менее 1 x USB Type C, не менее 1 x аудиовхода, не менее 1 x аудиовыхода, не менее 2 x USB Type-B (Touch), не менее 2 x RJ-45 (1 ГБ, вход x 1 / выход x 1), не менее 4 x USB 3.0, не менее 1 x RS232
Электропитание: переменный однофазный ток 220 В, возможна работа от электросети. В комплекте: кабель питания в соответствии со стандартами, действующими на территории Республики Армения, кронштейн для настенного крепления и монтаж в указанном заказчиком месте, включая 5-метровый HDMI-кабель. Поставщик должен предоставить вместе с заявкой официально опубликованную информационную брошюру (Data Sheet) производителя, в которой должны быть указаны все характеристики устройства, представленные в заявке. Оборудование должно быть новым, готовым к эксплуатации после установки (Из запланированных изделий 5 будут размещены в Иджеванском филиале ЕГУ, одно — в Бюракане, остальные — в Ереване). Поставщик должен иметь технический сервисный центр с необходимыми возможностями и сертифицированным производителем персоналом для обслуживания предлагаемого оборудования, либо поставщик должен иметь соответствующий договор со специализированным сервисным центром, действующим на территории Республики Армения для обслуживания предлагаемого оборудования.
Наличие формы авторизации производителя (MAF).
Монтаж, подключение, испытание изделия, а также обучение персонала Заказчика осуществляются поставщиком в пределах договорной цены.
Гарантия не менее 3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Моноблок i5/16 ГБ/512SSD/23.8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Не менее IntelCore™ i5-14xxx  (максимальная частота в режиме Turbo не менее 4.8 GHz, 24 MB Smart Cache, 14 cores, 20 threads)
Оперативная память Не менее  16 ГБ DDR5
Жесткий диск SSD: 500–512 ГБ M.2 SSD  PCIe NVMe
Экрана Не менее 23.8”, FHD (1920 x 1080), IPS, three-sided micro-edge, anti-glare, Low Blue Light, 250 nits, 72% NTSC
Видеокарта Intel® Iris® Xᵉ Graphics/Intel UHD Graphics или выше
веб-камера: Не менее 5 MP,
Другие особенности Не менее 3xUSB 3.2 Gen 2 Type-A 10 Gbps, 1xUSB 3.2 Gen 2 Type-C 10 Gbps, 2xUSB 3.2 Gen 1 Type-A 5 Gbps, 1 HDMI 1.4, 1 DisplayPort 1.4/1.4ª, headphone/microphone combo, 1 RJ-45(Gigabit Ethernet), встроенные динамики не менее 2x2w, встроенный микрофон, Wi-Fi 6E (2x2)  Bluetooth® 5.3 и более, регулируемая подставка для стола, цвет черний:
Блок питания: Блок питания 65-160Вт, предназначен для работы с переменным однофазным напряжением 220В
Клавиатура с заводскими английскими/русскими шрифтами, мышь лазерная/оптическая.
Компьютер, клавиатура, мышь от одного производителя.
В комплекте кабель питания в соответствии со стандартами, действующими на территории РА.
Наличие формы авторизации производителя (MAF).
Наличие хотя бы одного официального гарантийного сервисного центра в РА.
Гарантийное обслуживание не менее 1 лет.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90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90  календарных дней со дня заключения договора,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Интерактивный экран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Моноблок i5/16 ГБ/512SSD/23.8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DC6D7C"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444F" w:rsidRDefault="0051444F" w:rsidP="001A1C97">
      <w:pPr>
        <w:spacing w:after="0" w:line="240" w:lineRule="auto"/>
      </w:pPr>
      <w:r>
        <w:separator/>
      </w:r>
    </w:p>
  </w:endnote>
  <w:endnote w:type="continuationSeparator" w:id="0">
    <w:p w:rsidR="0051444F" w:rsidRDefault="0051444F"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444F" w:rsidRDefault="0051444F" w:rsidP="001A1C97">
      <w:pPr>
        <w:spacing w:after="0" w:line="240" w:lineRule="auto"/>
      </w:pPr>
      <w:r>
        <w:separator/>
      </w:r>
    </w:p>
  </w:footnote>
  <w:footnote w:type="continuationSeparator" w:id="0">
    <w:p w:rsidR="0051444F" w:rsidRDefault="0051444F"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w:t>
      </w:r>
      <w:bookmarkStart w:id="3" w:name="_GoBack"/>
      <w:r>
        <w:rPr>
          <w:rFonts w:ascii="Calibri" w:hAnsi="Calibri"/>
          <w:i/>
          <w:lang w:val="ru-RU"/>
        </w:rPr>
        <w:t xml:space="preserve">одновременно с заключаемым </w:t>
      </w:r>
      <w:bookmarkEnd w:id="3"/>
      <w:r>
        <w:rPr>
          <w:rFonts w:ascii="Calibri" w:hAnsi="Calibri"/>
          <w:i/>
          <w:lang w:val="ru-RU"/>
        </w:rPr>
        <w:t>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5764"/>
    <w:rsid w:val="000E7AC7"/>
    <w:rsid w:val="000F1575"/>
    <w:rsid w:val="000F3035"/>
    <w:rsid w:val="000F41B9"/>
    <w:rsid w:val="001139BD"/>
    <w:rsid w:val="0012507B"/>
    <w:rsid w:val="001304BD"/>
    <w:rsid w:val="00163E2C"/>
    <w:rsid w:val="001640EB"/>
    <w:rsid w:val="001940C4"/>
    <w:rsid w:val="00194C91"/>
    <w:rsid w:val="001A1C97"/>
    <w:rsid w:val="001C1315"/>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46B75"/>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C41F3D-82CD-497C-A04A-1E9A437F2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58</Pages>
  <Words>17147</Words>
  <Characters>97742</Characters>
  <Application>Microsoft Office Word</Application>
  <DocSecurity>0</DocSecurity>
  <Lines>814</Lines>
  <Paragraphs>229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223</cp:revision>
  <dcterms:created xsi:type="dcterms:W3CDTF">2021-01-24T18:12:00Z</dcterms:created>
  <dcterms:modified xsi:type="dcterms:W3CDTF">2025-03-18T12:21:00Z</dcterms:modified>
</cp:coreProperties>
</file>