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ավտոմեքենաների պահեստամասերի ձեռքբերման նպատակով ԵԱ-ԷԱՃԱՊՁԲ-25/32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ավտոմեքենաների պահեստամասերի ձեռքբերման նպատակով ԵԱ-ԷԱՃԱՊՁԲ-25/32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ավտոմեքենաների պահեստամասերի ձեռքբերման նպատակով ԵԱ-ԷԱՃԱՊՁԲ-25/32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ավտոմեքենաների պահեստամասերի ձեռքբերման նպատակով ԵԱ-ԷԱՃԱՊՁԲ-25/32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6CT-170A Zhong Tong Ավտոբուսների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6ՍՏ-85A Gazel CitY Միկրոավտոբուսների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Օդախցիկ 7.50-20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/Ֆլիպեր/ 7.50-20  (6.7-20)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«ԵՐևԱՆԻ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6CT-170A Zhong Tong Ավտոբուսների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6ՍՏ-170Ա/ժամ անվանական ունակությամբ, չափսերը՝ երկարություն/լայնություն/բարձրություն ոչ ավել 513/223/223մմ, սառը պարպման հոսանքը ոչ պակաս EN-1100A, բևեռնականությունը՝ 3 (հակադարձ), չօգտագործված, Արտադրության տարեթիվը 2025թ.  երաշխիքային ժամկետը 1 տարի: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6ՍՏ-85A Gazel CitY Միկրոավտոբուսների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6ՍՏ-85Ա/ժամ անվանական ունակությամբ թույլատրելի շեղումը +- 5A, չափսերը՝ երկարություն/լայնություն/բարձրություն ոչ ավել 314/175/175մմ, սառը պարպման հոսանքը ոչ պակաս EN-720A, բևեռնականությունը՝ 0 (հակադարձ), չօգտագործված, Արտադրության տարեթիվը 2025թ. ,երաշխիքային ժամկետը 1 տարի,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Օդախցիկ 7.50-20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Օդախցիկ 7.50-20 /Камера/ Նախատեսված Հայգեր KLQ 6770 G ավտոբուսների համար
համաձայն "Հայգեր" ֆիրմայի տեխ. պայմանների: Արտադրության տարեթիվը 2025թ.,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/Ֆլիպեր/ 7.50-20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/Ֆլիպեր/ 7.50-20 
(6.7-20) Նախատեսված Հայգեր KLQ 6770 G ավտոբուսների համար
համաձայն "Հայգեր" ֆիրմայի տեխ. պայմանների: Արտադրության տարեթիվը 2025թ., Փոխադրումը Ցանկացած տրանսպորտով,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30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30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30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30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