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armine.hambardzumyan@oncology.am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ՈՒԱԿ-ԷԱՃԱՊՁԲ-25/81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ՈՒԱԿ-ԷԱՃԱՊՁԲ-25/81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armine.hambardzumyan@oncology.am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рентгеновская система типа С-дуга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400.97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2025.05.13.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ՈՒԱԿ-ԷԱՃԱՊՁԲ-25/81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ՈՒԱԿ-ԷԱՃԱՊՁԲ-25/81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ՈՒԱԿ-ԷԱՃԱՊՁԲ-25/81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ՈՒԱԿ-ԷԱՃԱՊՁԲ-25/81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"ՈՒԱԿ-ԷԱՃԱՊՁԲ-25/81"*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ՈՒԱԿ-ԷԱՃԱՊՁԲ-25/81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"ՈՒԱԿ-ԷԱՃԱՊՁԲ-25/81"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ՈՒԱԿ-ԷԱՃԱՊՁԲ-25/81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"ՈՒԱԿ-ԷԱՃԱՊՁԲ-25/81"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ՈՒԱԿ-ԷԱՃԱՊՁԲ-25/81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548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рентгеновская система типа С-дуга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рентгеновская система типа С-дуга. Генератор: инвертор BH не менее 57,0 Гц. Напряжение: однофазное. Номинальная выходная мощность: не менее 15 кВт. Диапазон выходной мощности: не менее 45-120 кВ, 1 мАв-100 мАв. Флюороскопия /обычный режим/: не менее 45-120 кВ, непрерывная: не менее 0,5 мА -6,0 мА; 30,15,8,4,2,1 импульсный: не менее 2,0 мА -10,0 мА. Флюороскопия /высокая/: не менее 45-120 кВ, непрерывная: 2,0 мА -20,0 мА; 30, 15 импульсов: не менее 4,0 мА -30,0 мА: 8.4.2.1 импульсов: не менее 4,0 мА -50,0 мА: Мгновенный: 2,0 мА -50,0 мА: Максимальные рабочие данные: Рентгенография: не менее 150 мА при 100 кВ (при 8 мА), 120 кВ при 100 мА (при 8 мА): Флюороскопия /нормальный режим/ - непрерывный 6 мА при 80 кВ, 120 кВ при 4 мА: 30,15,8,4.2.1 импульсов: не менее 10 мА при 96 кВ, 120 кВ при 8 мА: Флюороскопия /высокий режим/ - непрерывный: 20 мА при 48 кВ, 120 кВ при 8 мА. 30 импульсов: 30 мА при 96 кВ, 120 кВ при 24 мА: 15, 8 импульсов: не менее 30 мА при 120 кВ, 120 кВ при 30 мА: 4,2,1 импульс: не менее 50 мА при 120 В, 120 кВ при 50 мА: Мгновенный: не менее 120 кВ при 50 мА (0,2 с), 50 при 120 кВ: Нагревательная спираль: не менее 1 209 600 HU: Регулирование времени: 0-5 мин.
Рентгеновская трубка: Цепь: постоянного тока /центр заземлен/. Фокус: не менее 0,3/0,6 мм. Механические данные: Тип трубки: вращающаяся, целевой угол: 10°±5%; Время охлаждения: не более 10 мин; Общая фильтрация: Собственная фильтрация: не менее 0,7 мм AL; Добавить фильтрацию: не менее 3,0 мм AL; Максимальное напряжение трубки: не менее 130 кВ; Теплоемкость анода: не менее 300 кЕ (225 кДж)±5%; Детектор рентгеновского излучения: не менее 26*26 см в горизонтальном положении; Тип: КМОП (или эквивалент КМОП по техническим возможностям); Активное поле изображения: не менее 260*256 мм; Максимальная пропускная способность (лин/мм): не менее 5; Частота кадров: не менее 30 к/с; Количество пикселей: не менее 2600*2560; Разрешение пиксельной выборки: не менее 12 бит; Шаг пикселя: не более 100 мкм. Квантовая эффективность обнаружения: 60 % (0,5 п.л./мм). Функция передачи модуляции: 70 %(0,01 п.л./мм). Рентгеновский коллиматор. Управление: механическое, с дистанционным управлением. Структура: свинец. Скорость вращения: не менее 180°, - продольно-поперечное: не более 15с /открыть-закрыть/. -Диафрагма: круглая не менее 14,8 мм - для кассеты 8''*10.
Масса: не более 360 кг. Привод монитора: *Медицинский монитор: размер не менее 43". SID С-дуги: не менее 1000 мм. Свободное пространство: не менее 770 мм. Глубина С-дуги: не менее 730 мм ± 3%. Диапазон подъема/опускания С-дуги: не менее 500 мм ± 3%. Диапазон перемещения С-дуги назад/вперед: не менее 190 мм ± 2%, угол орбиты С-дуги: не менее 155° ± 3%, поперечный угол С-дуги: не менее ± 210° ± 3%. Панорамирование С-дуги: не менее ± 12,5˚ ± 3%. Минимальная поперечная высота: 1010 мм ± 4%. Тип лазера: линейный лазерный диод, уровень: не менее класса II. Длина волны: 655 ± 15 мм. Питание: постоянный ток 5 В ± 5%. Угол вентилятора: 58° ± 3%. Панель управления: Экран: не менее 10,4", сенсорный. Вращение на 360°: с отображением изображения. Рабочая станция: как минимум ЦП: Intel i5, ГП: GTX 2060(6 ГБ), ОЗУ: 8 ГБ, SDD: 128 ГБ + 256 ГБ, HDD: 1 ТБ, ОС: Windows 10, съемный носитель: CD/DVD с USB 2.0. Устройство должно быть снабжено как минимум двумя комплектами защитной одежды. Сертификаты: ISO 13485, CE, FDA или эквивалент. Допустимое отклонение показателей (кроме отмеченных звездочкой (*)) не более 4%. Изделие должно быть новым, в заводской упаковке. Гарантийный срок не менее 18 месяцев. Послегарантийное обслуживание не менее 10 лет.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90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