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ԵՔ-ԷԱՃԱՊՁԲ-25/161</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по 1 лоту 365, по 2 лоту 548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по настоящему Соглашению
Обязанности выполняет мэрия Еревана.
Отдел охраны здоровья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изготовлена из высококачественного углеродного волокна, рентгенопрозрачна, совместима с С-образной дугой. Матрас покрыт высококачественной черной искусственной кожей, пена высокой плотности с эффектом памяти выполнена цельной, без швов. Переменный и постоянный ток, двойной пульт дистанционного управления для управления различными операциями. Наличие бесшумного и долговечного встроенного двигателя, основание и все металлические детали покрыты высококачественной (304) нержавеющей сталью, которая легко поддается очистке и стерилизации. Наличие ножного тормоза для удобства перемещения стола. Головная и ножная секции управляются газовым пружинным механизмом, ножная секция разделена на 2 части и может быть отделена от стола. Он должен иметь возможность автоматического восстановления. Высота регулируется, не менее 750 - 1100 мм ±50: Угол наклона вправо и влево не менее 15° / 15°: Тренделенбург/обратный Тренделенбург не менее 18°: Движение спинной секции вверх не менее 70°: Движение спинной секции вниз не менее 15°: Движение головной секции вверх не менее 40°: Движение головной секции вниз не менее 90°: Движение ножной секции вверх не менее 15°: Движение ножной секции вниз не менее 90°: Сгибание ножного отдела, не менее 180°: Угол поясничного отдела вверх ''˄'', не менее 150°: Угол поясничного отдела вниз ''˅'', не менее 120°: Горизонтальное и продольное перемещение - не менее 350±30 мм. Длина стола не менее 2000±100мм. Ширина стола не менее 520±20 мм. Напряжение сети переменного тока: 220±22 В, 50 ±1 Гц. Входная мощность - 300 ВА ±10%. Полный комплект: подлокотники, подплечники, подставки для ног и другие необходимые аксессуары. При желании можно предусмотреть возможность оснащения дополнительными принадлежностями, например, ортопедической насадкой, необходимой для проведения ортопедических операций. Гарантийное обслуживание не менее 12 месяцев. В стоимость продукта входит установка, настройка и обучение. Стол должен быть новым и неиспользованным, в заводской упаковке. Наличие сертификатов качества: CE, ISO 13485 , FDA, ISO 9001. Доставка и установка устройства должны быть выполнены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Наркозный аппарат для взрослых и новорожденных, управляемый микропроцессором, с пневматической системой ингаляции, который должен быть оснащен датчиком потока выдоха и вдоха. Встроенная вакуумная система. С электронной регулировкой PEEP. Самотестирование системы: не более 4 минут. Устройство должно быть оснащено датчиком утечки, автоматической идентификацией типа анестезирующего газа, парамагнитным датчиком кислорода и встроенными полками. Испарители с переменным байпасом, полностью компенсированный метод. Дыхательный объем: не менее 5 -1400 мл. Инспираторная пауза: не менее 0-50%. Частота дыхания: не менее 4-100 вдохов/мин. Инспираторный поток: не менее 250 л/мин. Удаление пассивного анестезирующего газа. Отображение концентрации CO2 на встроенном мониторе, расчет объема выдоха электронно-анемометрическим методом, время срабатывания датчика кислорода не более 0,45 с, работа от встроенных аккумуляторов не менее 90 минут. Возможности мониторинга: таймеры во всех режимах, встроенный монитор не менее 18 дюймов и комбинированный сопутствующий кардиомонитор не менее 15 дюймов. Наличие возможности визуализации кривых: давление, поток, объем, ЭКГ, ДЫХАНИЕ, SpO2, ЧСС, CO2, EtCo2, 2x Темп, 2x ИАД, НИАД, Галотан, Изофлуран, энфлуран, севофлуран, десфлуран, кислород. Наличие графических и числовых трендов: Ppeak, Pmean, PEEP, MV, CO2 insp. /эксп., O2 инсп./эксп., реагент, сопротивление, статическая/динамическая податливость. Хранение и экспорт сигналов тревоги. Режимы вентиляции, как минимум: MAN/SPONT, VCV, SIMV, PCV, SIMV, PSV/CPAP, HLM. Устройство должно отображать следующие показания: статическое/динамическое соответствие: CO2/C, Ppeak, Pplateau, Pmean, PEEP, MV, MV расчетный, MV спонтанный%, VTi, Vte, Leak%, частота общая, спонтанная, частота CO2, Ti спонтанный, Tвдоха, Tвыдоха, I:E, измерение CO2, FiCO2, EtCO2, O2, Агент. Полный комплект: Наркозный аппарат с капнографией, кардиомонитор пациента, 2 испарителя: изофлюран и севофлюран, порт «Freshgas». Установка и обучение, руководство пользователя. Гарантийный срок на оборудование составляет не менее 1,5 лет. Оборудование должно быть новым, неиспользованным. Сертификаты качества (наличие): ISO13485, ISO80601-2-13, IEC60601-1, IEC60601-2, маркировка CE (Директива 93/42/EEC). Доставка и установка устройства должны быть выполнены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включительно 60-й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включительно 60-й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