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մասով 365, իսկ 2-րդ չափաբաժնի մասով 548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մասով 365, իսկ 2-րդ չափաբաժնի մասով 548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իրականացնում է Երևանի քաղաքապետարանի
աշխատակազմի առողջապահության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Մակերեսը պատրաստված է բարձրորակ ածխամանրաթելից,Ռենտգեն թափանցիկ՝ համատեղելի C-աձև աղեղի հետ:Ներքնակը պատված է բարձրորակ սև արհեստական կաշվով, բարձր խտության հիշողության հնարավորությամբ սպունգը պատրաստված է մեկ կտորից, առանց կարերի։AC և DC, երկակի հեռակառավարման վահանակ՝ տարբեր գործողություններ վերահսկելու համարԱնաղմուկ և երկարակյաց ներկառուցված շարժիչի առկայություն ,Հիմքը և բոլոր մետաղական մասերը պատված են բարձր որակի (304) չժանգոտվող պողպատով, որը կարող է հեշտությամբ մաքրվել և ստերիլիզացվել:Ոտքի արգելակի առկայություն՝ նախատեսված սեղանը հեշտությամբ տեղափոխելու համար :Գլխի և Ոտքերի հատվածը կառավարվում են գազ-զսպանակային մեխանիզմով (gas spring),                                                                                                                                                           Ոտքերի հատվածը կիսված է 2 մասի և հնարավոր է առանձնացնել սեղանից:Պետք է ունենա ավտոմատ վերականգման հնարավորության առկայություն:Բարձրությունը կարգավորվող, ոչ պակաս, քան՝ 750 – 1100 մմ ±50:Աջ և ձախ թեքման անկյունը ոչ պակաս, քան 15° / 15°: Թրենդլենբուրգ/ռեվերս-Թրենդելենբուրգ ոչ պակաս, քան՝18°:Մեջքի հատվածի շարժը դեպի վերև ոչ պակաս, քան՝ 70°: Մեջքի հատվածի  շարժը դեպի ներքև ոչ պակաս, քան՝ 15°: Գլխի հատվածի  շարժը դեպի վերև ոչ պակաս, քան՝ 40°: Գլխի հատվածի  շարժը դեպի ներքև ոչ պակաս, քան՝ 90°:Ոտքի հատվածի  շարժը դեպի վերև ոչ պակաս, քան՝ 15°:Ոտքի հատվածի  շարժը դեպի ներքև ոչ պակաս, քան՝ 90°:Ոտքի սեգմենտի ծալքը, ոչ պակաս, քան 180°:Գոտկային(lumbar) վերին անկյունը ''˄'', ոչ պակաս, քան 150°: Գոտկային(lumbar) ստորին անկյունը ''˅'', ոչ պակաս, քան 120°:Հորիզոնական և երկայնական շարժում - ոչ պակաս, քան՝ 350±30մմ : Սեղանի երկարությունը, ոչ պակաս, քան՝ 2000±100 մմ:Սեղանի լայնությունը  ոչ պակաս, քան՝ 520±20մմ: Հիմնական լարումը AC  ՝ 220±22Վ, 50 ±1 Հց:Մուտքային հզորությունը ` 300 ՎԱ ±10%: Լրակազմը՝        Թևերի հենակներ, ուսերի հենակներ, ոտքերի հենակներ և այլ անհրաժեշտ պարագաներ: Անհրաժեշտության դեպքում պետք է հնարավոր լինի համալրել լրացուցիչ աքսեսուարներով, ինչպես օրինակ՝ օրթոպեդիկ վիրահատությունների համար անհրաժեշտ օրթոպեդիկ կցորդով  :Ոչ պակաս, քան 12 ամսյա երաշխիքային սպասարկում:Ապրանքի արժեքի մեջ հաշվարկված են մոնտաժման, կարգաբերման և ուսուցման աշխատանքների կատարումը  :Սեղանը պիտի լինի նոր և չօգտագործված, գործարանային տուփով:Որակի վկայագրերի առկայություն՝ CE, ISO 13485, FDA, ISO 9001: Սարքի առաքումը և տեղադրումը պետք է կատարվի մատակարարի կողմից՝ պատվիրատուի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նախատեսված մեծահասակների և նորածինների համար, միկրոպրոցեսսորային կառավարմամբ, պնևմատիկ ինհալացիոն համակարգով, որը պետք է համալրված լինի՝ արտաշնչման և ներշնչման հոսքի տվիչով: Ներկառուցված վակումի համակարգ։ Էլեկտրոնային PEEP կարգաբերումով:  Համակարգի ինքնաստուգման թեստ՝ ոչ ավել քան 4 րոպե: 
Սարքը պետք է օժտված լինի արտահոսքի սենսորով, անզգայացնող գազի տիպի ավտոմատ իդենտիֆիկացիայով, պարամագնետիկ թթվածնի տվիչով, ներկառուցված դարակներով։ Գոլորշացուցիչները փոփոխական շրջանցիկ, ամբողջությամբ փոխհատուցվող մեթոդով։  Շնչառության ծավալ՝ ոչ պակաս քան 5 -1,400 մլ միջակայքում։ Ներշնչման դադար՝ ոչ պակաս քան 0-50% միջակայքում։  Շնչառության հաճախականություն՝ ոչ պակաս քան 4-100 շնչ/րոպե միջակայքում։ Ներշնչման հոսք՝ ոչ պակաս քան 250 լ/ր։ Պասիվ անզգայացնող գազի հեռացում։ 
CO2-ի կոնցենտրացիայի արտացոլում ներկառուցված մոնիտորին, արտաշնչման ծավալի հաշվարկում էլեկտրոնային անեմոմետրիկ մեթոդով, թթվածնի տվիչի արձագանքը ոչ ավել քան 0,45վ, աշխատանքը ներկառուցված մարտկոցներից՝ ոչ պակաս քան 90ր։  
Դիտարկման հնարավորությունները՝ թայմերի առկայություն բոլոր ռեժիմներում, ներկառուցված մոնիտոր՝ ոչ պակաս քան 18 դույմ, և համակցված խնամյալի կարդիո մոնիտոր`ոչ պակաս քան 15 դյույմ։  
Կորերի արտացոլման հնարավորության առկայություն՝ ճնշում, հոսք, ծավալ, ECG, RESP, SpO2, PR, CO2, EtCo2, 2x Temp, 2x IBP, NIBP, Հալոտան, Իզոֆլուրան, էնֆլուրան, սևոֆլուրան, դեսֆլուրան, թթվածին:  Գրաֆիկական և թվային տրենդների առկայություն՝ Ppeak, Pmean, PEEP, MV, CO2 insp. /exp., O2 insp./exp., ազդող նյութի, դիմադրություն, ստատիկ/դինամիկ համապասխանություն:  Տագնապների պահպանում և արտահանում:  
Վենտիլյացիոն ռեժիմներ, առնվազն՝ MAN/SPONT, VCV, SIMV, PCV, SIMV, PSV/CPAP, HLM։
Սարքը պետք է հնարավորություն ունենա հետևյալ ցուցմունքների արտացոլման՝ ստատիկ/դինամիկ համապատասխանություն՝ CO2/C, Ppeak, Pplateau, Pmean, PEEP, MV, MV calculated, MV spontaneous%, VTi, Vte, Leak%, Frequency total, spontaneous, Frequency CO2, Ti spontaneous, Tinspiratoric, Texpiratoric, I:E, CO2 measurement, FiCO2, EtCO2, O2, Agent: 
Լրակազմ՝ Անզգայացման սարք կապնոգրաֆիայով, խնամյալի կարդիո մոնիտոր, Գոլորշացուցիչներ 2 հատ՝ իզոֆլյուրան և սեվոֆլուրան, «Freshgas» պորտ։ Տեղադրում և ուսուցում, Օգտագործողի ձեռնարկ։
Սարքավորման երաշխիքային ժամկետ՝ ոչ պակաս քան 1,5 տարի: Սարքը պետք է լինի նոր, չօգտագործված։ Որակի վկայականներ (առկայություն)՝ ISO13485, ISO80601-2-13, IEC60601-1, IEC60601-2, CE Mark (Directive 93/42/EEC)։  Սարքի առաքումը և տեղադրումը պետք է կատարվի մատակարարի կողմից՝ պատվիրատուի կողմից նշված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