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կարիքների համար դիզվառելիքի ձեռքբերում  ԿՄՆՀՀ ԷԱՃԱՊՁԲ25/20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tatevik.hovhannisyan.81@internet.ru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կարիքների համար դիզվառելիքի ձեռքբերում  ԿՄՆՀՀ ԷԱՃԱՊՁԲ25/20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կարիքների համար դիզվառելիքի ձեռքբերում  ԿՄՆՀՀ ԷԱՃԱՊՁԲ25/20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tatevik.hovhannisyan.81@internet.ru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կարիքների համար դիզվառելիքի ձեռքբերում  ԿՄՆՀՀ ԷԱՃԱՊՁԲ25/20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 ից մինչև 845 կգ/մ3, ծծմբի պարունակությունը 350 մգ/կգ- 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Մոտակա լցակայանի հեռավորությունը Նոր Հաճընի համայնքապետարանի    վարչական շենքից  5 կմ: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