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ՀՀ-ՏՄԴՀ-ԷԱՃԱՊՁԲ-25/06</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Цетановое число не менее 51, цетановый индекс-не менее 46, плотность при 150 ° C от 820 до 845 кг/м3, содержание серы не более 350 мг/кг, температура воспламенения не ниже 550 ° C, углеродный остаток в 10% осадке не более 0,3%, вязкость при 400 ° C от 2,0 до 4,5 мм2/с, температура помутнения: не выше 00 ° c,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
 Доставка по талонам осуществляется на территории Дилижанского сообщества.: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