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shd w:val="25pct" w:color="FF000" w:fill="FFFF00"/>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shd w:val="25pct" w:color="FF000" w:fill="FFFF00"/>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shd w:val="25pct" w:color="FF000" w:fill="FFFF00"/>
        </w:rPr>
        <w:t>ԱՄԱԿ-ԷԱՃԱՊՁԲ-25/27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shd w:val="25pct" w:color="FF000" w:fill="FFFF00"/>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shd w:val="25pct" w:color="FF000" w:fill="FFFF00"/>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shd w:val="25pct" w:color="FF000" w:fill="FFFF00"/>
        </w:rPr>
        <w:t>Այրվածքաբանության և մաշկաբանության ազգային կենտրոն ՓԲԸ-ի կարիքների համար 2025 թվականի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shd w:val="25pct" w:color="FF000" w:fill="FFFF00"/>
        </w:rPr>
        <w:t>19</w:t>
      </w:r>
      <w:r w:rsidR="00357D48" w:rsidRPr="00857ECA">
        <w:rPr>
          <w:rFonts w:ascii="Calibri" w:hAnsi="Calibri" w:cs="Calibri"/>
          <w:i w:val="0"/>
          <w:lang w:val="af-ZA"/>
        </w:rPr>
        <w:t>-րդ օրվա ժամը</w:t>
      </w:r>
      <w:r w:rsidR="005C0411" w:rsidRPr="00857ECA">
        <w:rPr>
          <w:rFonts w:ascii="Calibri" w:hAnsi="Calibri" w:cs="Calibri"/>
          <w:i w:val="0"/>
          <w:lang w:val="af-ZA"/>
          <w:shd w:val="25pct" w:color="FF000" w:fill="FFFF00"/>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shd w:val="25pct" w:color="FF000" w:fill="FFFF00"/>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shd w:val="25pct" w:color="FF000" w:fill="FFFF00"/>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shd w:val="25pct" w:color="FF000" w:fill="FFFF00"/>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shd w:val="25pct" w:color="FF000" w:fill="FFFF00"/>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shd w:val="25pct" w:color="FF000" w:fill="FFFF00"/>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shd w:val="25pct" w:color="FF000" w:fill="FFFF00"/>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shd w:val="25pct" w:color="FF000" w:fill="FFFF00"/>
        </w:rPr>
        <w:t>ԱՄԱԿ-ԷԱՃԱՊՁԲ-25/27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shd w:val="25pct" w:color="FF000" w:fill="FFFF00"/>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shd w:val="25pct" w:color="FF000" w:fill="FFFF00"/>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shd w:val="25pct" w:color="FF000" w:fill="FFFF00"/>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shd w:val="25pct" w:color="FF000" w:fill="FFFF00"/>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shd w:val="25pct" w:color="FF000" w:fill="FFFF00"/>
        </w:rPr>
        <w:t>Այրվածքաբանության և մաշկաբանության ազգային կենտրոն ՓԲԸ-ի կարիքների համար 2025 թվականի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shd w:val="25pct" w:color="FF000" w:fill="FFFF00"/>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shd w:val="25pct" w:color="FF000" w:fill="FFFF00"/>
        </w:rPr>
        <w:t>Այրվածքաբանության և մաշկաբանության ազգային կենտրոն ՓԲԸ-ի կարիքների համար 2025 թվականի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shd w:val="25pct" w:color="FF000" w:fill="FFFF00"/>
        </w:rPr>
        <w:t>ԱՄԱԿ-ԷԱՃԱՊՁԲ-25/27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shd w:val="25pct" w:color="FF000" w:fill="FFFF00"/>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shd w:val="25pct" w:color="FF000" w:fill="FFFF00"/>
        </w:rPr>
        <w:t>Այրվածքաբանության և մաշկաբանության ազգային կենտրոն ՓԲԸ-ի կարիքների համար 2025 թվականի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shd w:val="25pct" w:color="FF000" w:fill="FFFF00"/>
        </w:rPr>
        <w:t>91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ախտորոշման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Dives rich hair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պիպերացիլին 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Կետորոլակ (կետորոլակի տրոմետամոլ)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shd w:val="25pct" w:color="FF000" w:fill="FFFF00"/>
        </w:rPr>
        <w:t>19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shd w:val="25pct" w:color="FF000" w:fill="FFFF00"/>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shd w:val="25pct" w:color="FF000" w:fill="FFFF00"/>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shd w:val="25pct" w:color="FF000" w:fill="FFFF00"/>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shd w:val="25pct" w:color="FF000" w:fill="FFFF00"/>
        </w:rPr>
        <w:t>2025.06.03.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shd w:val="25pct" w:color="FF000" w:fill="FFFF00"/>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shd w:val="25pct" w:color="FF000" w:fill="FFFF00"/>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shd w:val="25pct" w:color="FF000" w:fill="FFFF00"/>
        </w:rPr>
        <w:t>ԱՄԱԿ-ԷԱՃԱՊՁԲ-25/27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shd w:val="25pct" w:color="FF000" w:fill="FFFF00"/>
        </w:rPr>
        <w:t>ԱՄԱԿ-ԷԱՃԱՊՁԲ-25/27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33691176/710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33691185/513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33691191/513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33691198/510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33691201/510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33691226/513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33691236/512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33691729/512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33691814/510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33691863/512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24311800/629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24311800/630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24311800/631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24311800/632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24311800/633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24311800/634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24311800/635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ախտորոշման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33141143/527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33141143/528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33141143/529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Dives rich hair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33611420/508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33621783/505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33651318/503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պիպերացիլին 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մասնաշենքավիթաշեն 25 մասնաշենքՀՀ,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ՀՀ, ք․ Երևան, Դավիթաշեն 25 մասնաշենքՀՀ,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shd w:val="25pct" w:color="FF000" w:fill="FFFF00"/>
                  <w:rFonts w:hAnsi="GHEA Grapalat" w:ascii="GHEA Grapalat"/>
                  <w:b/>
                  <w:bCs/>
                  <w:i/>
                  <w:iCs/>
                  <w:sz w:val="14" w:fill="red"/>
                  <w:szCs w:val="14" w:fill="red"/>
                </w:rPr>
                <w:t>
                            պայմանագրի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