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ՎԱ-ԱԱՏՄ-ԷԱՃԱՊՁԲ-25/16 ծածկագրով  Էլեկտրոնային աճուրդի  միջոցով իրականացվող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ՎԱ-ԱԱՏՄ-ԷԱՃԱՊՁԲ-25/16 ծածկագրով  Էլեկտրոնային աճուրդի  միջոցով իրականացվող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ՎԱ-ԱԱՏՄ-ԷԱՃԱՊՁԲ-25/16 ծածկագրով  Էլեկտրոնային աճուրդի  միջոցով իրականացվող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ՎԱ-ԱԱՏՄ-ԷԱՃԱՊՁԲ-25/16 ծածկագրով  Էլեկտրոնային աճուրդի  միջոցով իրականացվող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ՎԱ-ԱԱՏՄ-ԷԱՃԱՊՁԲ-25/16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ՎԱ-ԱԱՏՄ-ԷԱՃԱՊՁԲ-25/16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օդաճնշական անիվ ամառային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T (190), առավելագույն բեռնվածության ինդեքսը (Load index) ոչ պակաս 91, բեռնվածությունը (կգ) (Max Load) ` ոչ պակաս 615։  Արտադրության տարեթիվը-ոչ շուտ, քան 2025թ.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 R16 օդաճնշական անիվ ամառային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T (190), առավելագույն բեռնվածության ինդեքսը (Load index) ոչ պակաս 91, բեռնվածությունը (կգ) (Max Load) ` ոչ պակաս 615։  Արտադրության տարեթիվը-ոչ շուտ, քան 2025թ.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2025թ.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2025թ. : Չօգտագօրծված:  Հավասարակշռումը և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