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ուսումնական գույքի (Քարագլուխ բնակավայրի մշակութային կենտրոն)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ուսումնական գույքի (Քարագլուխ բնակավայրի մշակութային կենտրոն)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ուսումնական գույքի (Քարագլուխ բնակավայրի մշակութային կենտրոն)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ուսումնական գույքի (Քարագլուխ բնակավայրի մշակութային կենտրոն)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լարաններ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կամ այլ չժանգոտող մետաղից, 5-12 մմ տրամագծով խողովակ կամ ձող։ Ամրացվում է պատից 1 սմ հեռավորություն ապահովող մետաղյա ամրակներով, որ հնարավոր լինի ձողերին (կամ խողովակին) կապել թելեր։ Ձողերը (կամ խողովակները)՝ ներառյալ ամրակները, պետք է ներկվեն պատին համահունչ գույնով ամրացնելուց հետո։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լարաններ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թել կամ կրաֆտ տեսակի թել։ Ապրանքը տրամադրվում է փաթաթանով (бухта)։ Ապրանքը ամրությամբ պետք է նախատեսված լինի առնվազն 1 կգ-անոց ծանրություն պահելու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լարաններ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