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(Քարագլուխ բնակավայրի մշակութային կենտրոն)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(Քարագլուխ բնակավայրի մշակութային կենտրոն)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(Քարագլուխ բնակավայրի մշակութային կենտրոն)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(Քարագլուխ բնակավայրի մշակութային կենտրոն)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25 կգ-ի համար
Բարձրության կարգավորիչի տեսակը – ամրակ (зажим с булавкой)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6 մետրանոց խոսափողային մալուխներ, մի ծայրից XLR խրոցակ, մյուս ծայրում ¼ Jack խրոցակ, որոնք նախատեսված են համերգասրահների համար։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Պրոյեկտորը պետք է բավարարի նշված նվազագույն չափանիշներին՝
Տեխնոլոգիա՝ առնվազն DLP;
Կոնտրաստային հարաբերակցություն՝ առնվազն 20000:1;
Կետայնություն՝  առնվազն 1280 x 800;
Առավելագույն կետայնություն՝ առնվազն 1920 x1080;
Պատկերի օպտիկական խոշորացում առնվազն 1․1x;
Աշխատանքի տևողություն՝ առնվազն 10000 ժամ;
Պայծառություն՝ առնվազն 3500 Lm;
Պրոյեկցիոն հեռավորություն՝ 1.5-1.7 մ ներառյալ;
Բարձրախոսներ՝ առնվազն 10 Վտ;
Ինտերֆեյս՝ 1 x HdMI, 1 x VGA, 1xRJ-45, 1xUSB-A, 1x USB -B։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180x180 սմ չափի էկրան կամ ավելի, սպիտակ գույնի էկրան՝ ետևից սև անթափանց գույնով պատված, եռոտանի տակդիրին ամրացվող՝ եռոտանին ներառյալ, բարձրությունը կարգավորվող, էկրանը հավաքվող տարբերակով։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