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ԲՏԱՆ-ԷԱՃԾՁԲ-2025/03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ԲԱՐՁՐ ՏԵԽՆՈԼՈԳԻԱԿԱՆ ԱՐԴՅՈՒՆԱԲԵՐՈՒԹՅԱՆ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Վազգեն Սարգսյան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բարձր տեխնոլոգիական արդյունաբերության նախարարության  կողմից Ներուժ 6.0 ծրագրի շրջանակներում միջոցառումների հետ կապված ծառայությունների ձեռքբերման նպատակով կազմակերպված ԲՏԱՆ-ԷԱՃԾՁԲ-2025/03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Գոռ Եսայան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010 590161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gor.yesayan@hti.am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ԲԱՐՁՐ ՏԵԽՆՈԼՈԳԻԱԿԱՆ ԱՐԴՅՈՒՆԱԲԵՐՈՒԹՅԱՆ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ԲՏԱՆ-ԷԱՃԾՁԲ-2025/03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ԲԱՐՁՐ ՏԵԽՆՈԼՈԳԻԱԿԱՆ ԱՐԴՅՈՒՆԱԲԵՐՈՒԹՅԱՆ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ԲԱՐՁՐ ՏԵԽՆՈԼՈԳԻԱԿԱՆ ԱՐԴՅՈՒՆԱԲԵՐՈՒԹՅԱՆ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բարձր տեխնոլոգիական արդյունաբերության նախարարության  կողմից Ներուժ 6.0 ծրագրի շրջանակներում միջոցառումների հետ կապված ծառայությունների ձեռքբերման նպատակով կազմակերպված ԲՏԱՆ-ԷԱՃԾՁԲ-2025/03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ԲԱՐՁՐ ՏԵԽՆՈԼՈԳԻԱԿԱՆ ԱՐԴՅՈՒՆԱԲԵՐՈՒԹՅԱՆ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բարձր տեխնոլոգիական արդյունաբերության նախարարության  կողմից Ներուժ 6.0 ծրագրի շրջանակներում միջոցառումների հետ կապված ծառայությունների ձեռքբերման նպատակով կազմակերպված ԲՏԱՆ-ԷԱՃԾՁԲ-2025/03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ԲՏԱՆ-ԷԱՃԾՁԲ-2025/03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gor.yesayan@hti.am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բարձր տեխնոլոգիական արդյունաբերության նախարարության  կողմից Ներուժ 6.0 ծրագրի շրջանակներում միջոցառումների հետ կապված ծառայությունների ձեռքբերման նպատակով կազմակերպված ԲՏԱՆ-ԷԱՃԾՁԲ-2025/03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proofErr w:type="gramStart"/>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386.2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4.8047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435.48</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1528AD" w:rsidRPr="001528AD">
        <w:rPr>
          <w:rFonts w:ascii="Calibri" w:hAnsi="Calibri" w:cs="Calibri"/>
          <w:sz w:val="20"/>
          <w:lang w:val="hy-AM"/>
        </w:rPr>
        <w:t>փաստաթղթերը</w:t>
      </w:r>
      <w:r w:rsidR="001528AD" w:rsidRPr="001528AD">
        <w:rPr>
          <w:rFonts w:ascii="Calibri" w:hAnsi="Calibri" w:cs="Calibri"/>
          <w:sz w:val="20"/>
          <w:lang w:val="af-ZA"/>
        </w:rPr>
        <w:t xml:space="preserve">  </w:t>
      </w:r>
      <w:bookmarkStart w:id="8" w:name="_Hlk192769838"/>
      <w:r w:rsidR="001528AD" w:rsidRPr="001528AD">
        <w:rPr>
          <w:rFonts w:ascii="Calibri" w:hAnsi="Calibri" w:cs="Calibri"/>
          <w:sz w:val="20"/>
          <w:lang w:val="hy-AM"/>
        </w:rPr>
        <w:t>ներառյալ</w:t>
      </w:r>
      <w:r w:rsidR="001528AD" w:rsidRPr="001528AD">
        <w:rPr>
          <w:rFonts w:ascii="Calibri" w:hAnsi="Calibri" w:cs="Calibri"/>
          <w:sz w:val="20"/>
          <w:lang w:val="af-ZA"/>
        </w:rPr>
        <w:t xml:space="preserve"> </w:t>
      </w:r>
      <w:r w:rsidR="001528AD" w:rsidRPr="001528AD">
        <w:rPr>
          <w:rFonts w:ascii="Calibri" w:hAnsi="Calibri" w:cs="Calibri"/>
          <w:sz w:val="20"/>
          <w:lang w:val="hy-AM"/>
        </w:rPr>
        <w:t>այն</w:t>
      </w:r>
      <w:r w:rsidR="001528AD" w:rsidRPr="001528AD">
        <w:rPr>
          <w:rFonts w:ascii="Calibri" w:hAnsi="Calibri" w:cs="Calibri"/>
          <w:sz w:val="20"/>
          <w:lang w:val="af-ZA"/>
        </w:rPr>
        <w:t xml:space="preserve"> </w:t>
      </w:r>
      <w:r w:rsidR="001528AD" w:rsidRPr="001528AD">
        <w:rPr>
          <w:rFonts w:ascii="Calibri" w:hAnsi="Calibri" w:cs="Calibri"/>
          <w:sz w:val="20"/>
          <w:lang w:val="hy-AM"/>
        </w:rPr>
        <w:t>դեպքերը</w:t>
      </w:r>
      <w:r w:rsidR="001528AD" w:rsidRPr="001528AD">
        <w:rPr>
          <w:rFonts w:ascii="Calibri" w:hAnsi="Calibri" w:cs="Calibri"/>
          <w:sz w:val="20"/>
          <w:lang w:val="af-ZA"/>
        </w:rPr>
        <w:t xml:space="preserve">, </w:t>
      </w:r>
      <w:r w:rsidR="001528AD" w:rsidRPr="001528AD">
        <w:rPr>
          <w:rFonts w:ascii="Calibri" w:hAnsi="Calibri" w:cs="Calibri"/>
          <w:sz w:val="20"/>
          <w:lang w:val="hy-AM"/>
        </w:rPr>
        <w:t>երբ</w:t>
      </w:r>
      <w:r w:rsidR="001528AD" w:rsidRPr="001528AD">
        <w:rPr>
          <w:rFonts w:ascii="Calibri" w:hAnsi="Calibri" w:cs="Calibri"/>
          <w:sz w:val="20"/>
          <w:lang w:val="af-ZA"/>
        </w:rPr>
        <w:t xml:space="preserve"> </w:t>
      </w:r>
      <w:r w:rsidR="001528AD" w:rsidRPr="001528AD">
        <w:rPr>
          <w:rFonts w:ascii="Calibri" w:hAnsi="Calibri" w:cs="Calibri"/>
          <w:sz w:val="20"/>
          <w:lang w:val="hy-AM"/>
        </w:rPr>
        <w:t>սահմանված</w:t>
      </w:r>
      <w:r w:rsidR="001528AD" w:rsidRPr="001528AD">
        <w:rPr>
          <w:rFonts w:ascii="Calibri" w:hAnsi="Calibri" w:cs="Calibri"/>
          <w:sz w:val="20"/>
          <w:lang w:val="af-ZA"/>
        </w:rPr>
        <w:t xml:space="preserve"> </w:t>
      </w:r>
      <w:r w:rsidR="001528AD" w:rsidRPr="001528AD">
        <w:rPr>
          <w:rFonts w:ascii="Calibri" w:hAnsi="Calibri" w:cs="Calibri"/>
          <w:sz w:val="20"/>
          <w:lang w:val="hy-AM"/>
        </w:rPr>
        <w:t>ժամկետում</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կամ</w:t>
      </w:r>
      <w:r w:rsidR="001528AD" w:rsidRPr="001528AD">
        <w:rPr>
          <w:rFonts w:ascii="Calibri" w:hAnsi="Calibri" w:cs="Calibri"/>
          <w:sz w:val="20"/>
          <w:lang w:val="af-ZA"/>
        </w:rPr>
        <w:t xml:space="preserve"> </w:t>
      </w:r>
      <w:r w:rsidR="001528AD" w:rsidRPr="001528AD">
        <w:rPr>
          <w:rFonts w:ascii="Calibri" w:hAnsi="Calibri" w:cs="Calibri"/>
          <w:sz w:val="20"/>
          <w:lang w:val="hy-AM"/>
        </w:rPr>
        <w:t>ամբողջական</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հայտի</w:t>
      </w:r>
      <w:r w:rsidR="001528AD" w:rsidRPr="001528AD">
        <w:rPr>
          <w:rFonts w:ascii="Calibri" w:hAnsi="Calibri" w:cs="Calibri"/>
          <w:sz w:val="20"/>
          <w:lang w:val="af-ZA"/>
        </w:rPr>
        <w:t xml:space="preserve"> </w:t>
      </w:r>
      <w:r w:rsidR="001528AD" w:rsidRPr="001528AD">
        <w:rPr>
          <w:rFonts w:ascii="Calibri" w:hAnsi="Calibri" w:cs="Calibri"/>
          <w:sz w:val="20"/>
          <w:lang w:val="hy-AM"/>
        </w:rPr>
        <w:t>գնահատման</w:t>
      </w:r>
      <w:r w:rsidR="001528AD" w:rsidRPr="001528AD">
        <w:rPr>
          <w:rFonts w:ascii="Calibri" w:hAnsi="Calibri" w:cs="Calibri"/>
          <w:sz w:val="20"/>
          <w:lang w:val="af-ZA"/>
        </w:rPr>
        <w:t xml:space="preserve"> </w:t>
      </w:r>
      <w:r w:rsidR="001528AD" w:rsidRPr="001528AD">
        <w:rPr>
          <w:rFonts w:ascii="Calibri" w:hAnsi="Calibri" w:cs="Calibri"/>
          <w:sz w:val="20"/>
          <w:lang w:val="hy-AM"/>
        </w:rPr>
        <w:t>արդյունքում</w:t>
      </w:r>
      <w:r w:rsidR="001528AD" w:rsidRPr="001528AD">
        <w:rPr>
          <w:rFonts w:ascii="Calibri" w:hAnsi="Calibri" w:cs="Calibri"/>
          <w:sz w:val="20"/>
          <w:lang w:val="af-ZA"/>
        </w:rPr>
        <w:t xml:space="preserve"> </w:t>
      </w:r>
      <w:r w:rsidR="001528AD" w:rsidRPr="001528AD">
        <w:rPr>
          <w:rFonts w:ascii="Calibri" w:hAnsi="Calibri" w:cs="Calibri"/>
          <w:sz w:val="20"/>
          <w:lang w:val="hy-AM"/>
        </w:rPr>
        <w:t>արձանագրված</w:t>
      </w:r>
      <w:r w:rsidR="001528AD" w:rsidRPr="001528AD">
        <w:rPr>
          <w:rFonts w:ascii="Calibri" w:hAnsi="Calibri" w:cs="Calibri"/>
          <w:sz w:val="20"/>
          <w:lang w:val="af-ZA"/>
        </w:rPr>
        <w:t xml:space="preserve"> </w:t>
      </w:r>
      <w:r w:rsidR="001528AD" w:rsidRPr="001528AD">
        <w:rPr>
          <w:rFonts w:ascii="Calibri" w:hAnsi="Calibri" w:cs="Calibri"/>
          <w:sz w:val="20"/>
          <w:lang w:val="hy-AM"/>
        </w:rPr>
        <w:t>անհամապատասխանությունները</w:t>
      </w:r>
      <w:bookmarkEnd w:id="8"/>
      <w:r w:rsidRPr="00E21BA8">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9C611D">
        <w:rPr>
          <w:rFonts w:ascii="Calibri" w:hAnsi="Calibri" w:cs="Calibri"/>
          <w:sz w:val="20"/>
          <w:lang w:val="hy-AM"/>
        </w:rPr>
        <w:lastRenderedPageBreak/>
        <w:t xml:space="preserve">(համաձայնագրերի)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ԲԱՐՁՐ ՏԵԽՆՈԼՈԳԻԱԿԱՆ ԱՐԴՅՈՒՆԱԲԵՐՈՒԹՅԱՆ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ԲՏԱՆ-ԷԱՃԾՁԲ-2025/03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610501"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«ԲՏԱՆ-ԷԱՃԾՁԲ-2025/03»*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ԲՏԱՆ-ԷԱՃԾՁԲ-2025/03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«ԲՏԱՆ-ԷԱՃԾՁԲ-2025/03»*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ԲԱՐՁՐ ՏԵԽՆՈԼՈԳԻԱԿԱՆ ԱՐԴՅՈՒՆԱԲԵՐՈՒԹՅԱՆ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ԲՏԱՆ-ԷԱՃԾՁԲ-2025/03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«ԲՏԱՆ-ԷԱՃԾՁԲ-2025/03»*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ԲՏԱՆ-ԷԱՃԾՁԲ-2025/03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«ԲՏԱՆ-ԷԱՃԾՁԲ-2025/03»*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«Ներուժ 6.0» ծրագիրը նպատակաուղղված է հարստացնելու Հայաստանի ստարտափ էկոհամակարգը՝ խթանելով սփյուռքից նորարարական և տեխնոլոգիական ստարտափների ներհոսքը Հայաստան:
Ծրագիրը պետք է կազմակերպել 2025 թ. սեպտեմբերի 22-27-ը Դիլիջան, Ջերմուկ, Ծաղկաձոր քաղաքներից մեկում: 
Ծրագրի անցկացումը և մասնակիցների կեցությունը պետք է ապահովվի նույն վայրում` տարածքում:
Օրակարգը նախապես կտրամադրվի Պատվիրատուի կողմից:
Կազմակերպությունը պարտավորվում է իրականացնել «Ներուժ 6.0» ծրագրի հետ կապված ներքոնշյալ աշխատանքները՝ դրանք նախապես համաձայնեցնելով Պատվիրատուի հետ: 
Հաշվի առնելով վերոնշյալը՝ Կազմակերպությունը պետք է իրականացնի ծրագրի կազմակերպչական բաղադրիչները:
Միջոցառման շրջանակներում ծառայությունների ձեռքբերում, այդ թվում՝ միջոցառումների հետ կապված ծառայություններ
1.	Ծրագրի մասնակիցներ  
●	Շահառուներ՝ 70  անձ (35 թիմ՝ յուրաքանչյուրում՝ 2 մասնակից),
●	Պատվիրատու կողմ՝ 18 անձ,
●	Աքսելերատորի թիմ՝ 8 անձ,
●	Մենթորներ՝ 2 անձ,
●	Պարուսույցներ՝ 2 անձ,
●	Հատուկ հյուրեր՝ 20 անձ:
2.	Կեցության և միջոցառման անցկացման վայրի նկարագիր
Մասնակիցների ժամանումը հյուրանոց նախատեսվում է 22.09.2025 թ., մեկնումը՝ 27.09.2025 թ․: 
Ծրագրի 100 մասնակիցներից յուրաքանչյուրի համար հյուրանոցում անհրաժեշտ է ապահովել 1  սենյակային համար՝ գիշերակացով` 5 գիշեր, 6 օր:
Հյուրանոցը պետք է ապահովված լինի անվտանգության և օդափոխության համակարգով, գերարագ ինտերնետով (Wi-Fi), մաքրության ծառայությամբ, գործող բուժկետով՝ համալրված առաջին բուժօգնության պարագաներով, հերթապահ բժշկի և անվտանգության աշխատակցի շուրջօրյա ներկայությամբ: 
Հյուրանոցի սենյակները պետք է հագեցած լինեն հարմարավետ կահավորանքով, առանձնացված լոգասենյակով (լոգախցիկով և սանհանգույցով), ապահովված մշտական տաք և սառը ջրով: Լոգասենյակները բոլոր օրերին պետք է ապահովված լինեն անհրաժեշտ պարագաներով (մեկանգամյա օգտագործման ատամի խոզանակ, ատամի մածուկ, ձեռքի օճառ, լոգանքի գել և շամպույն, սրբիչե հողաթափեր, նաև սրբիչներ, վարսահարդարիչ), համապատասխանեն սահմանված սանիտարական բոլոր նորմերին: 
Հյուրանոցը պետք է ապահովի 3-անգամյա սնունդ (նախաճաշ, ճաշ, ընթրիք) 100 անձի համար: Սննդի ապահովման համար նախատեսված վայրը պետք է լինի մաքուր, հարմարավետ և համապատասխանի սանիտարական բոլոր նորմերին:
Ծրագրի բացման և փակման միջոցառումները կազմակերպելու համար անհրաժեշտ է, որ հյուրանոցն ունենա նվազագույնը 300 քմ մակերեսով սրահ/դահլիճ, որը պետք է կահավորված լինի առնվազն 250 աթոռով, ունենա բեմ (5*8 չափի), ապահովված լինի հետևյալ տեխնիկական պարագաներով՝ 1 պրոյեկտոր, 1 լեդ էկրան՝ համակարգչին միանալու հնարավորությամբ` 4,5*2,5 m (2,5p-2,9p միջակայքում), 4 անլար խոսափող (միկրոֆոն Shure, Samson Sennheiser, Audio Technica կամ համարժեք) և 2 բարձրախոս (դինամիկ՝ EV, JBL, FBT Mitus, RCF HDL կամ համարժեք ձայնային 3 համակարգեր):
Հյուրանոցը պետք է ունենա առնվազն 2 առանձնացված սենյակ՝ նախատեսված հանդիպումների, դասընթացների, պանելային քննարկումների համար՝ յուրաքանչյուրն առնվազն 50 անձի համար՝ հագեցած գույքով և տեխնիկայով (աշխատանքային սեղաններ, աթոռներ, պրոյեկտոր, էկրան):
Անհրաժեշտ է, որ միջոցառման առաջին օրը հյուրանոցում ապահովվի համապատասխան տարածք, առնվազն 1 սեղան և 2 աթոռ՝ մասնակիցների գրանցումը կազմակերպելու համար:
Անհրաժեշտ է նաև, որ հյուրանոցում ապահովվի Տեղեկատվական կենտրոնի (անգլ.՝ Information desk) առկայություն 6-օրյա միջոցառման ամբողջ ընթացքում: 
3.	Միջոցառման բացման և փակման արարողությունների նկարագիր
	Բացման հանդիսավոր արարողության ժամանակ անհրաժեշտ է երաժշտության ապահովում՝ լարային քառյակի կամ ջազ նվագախմբի կատարմամբ (երաժշտական գործիքներով և անհրաժեշտ տեխնիկայով)՝ առավելագույնը՝ 1 ժամ տևողությամբ:
	Բացման հանդիսավոր արարողության ընթացքում առավելագույնը 130 անձի (մասնակիցներ, կազմակերպիչներ, մասնագետներ, հյուրեր) համար հյուրասիրության կազմակերպում: Հյուրասիրությունը պետք է ներառի առնվազն մսային, ձկնային, պանրային կանապեների և փոքրիկ սենդվիչների, սեզոնային մրգերի և խմորեղենի տեսականու, կոնյակի, կարմիր և սպիտակ գինիների, 3 տեսակի բնական հյութերի, բնական և հանքային ջրի, տաք և սառը սուրճի առկայություն:
	Փակման պաշտոնական արարողության ընթացքում առավելագույնը 130 անձի (մասնակիցներ, կազմակերպիչներ, մասնագետներ, հյուրեր) համար հյուրասիրության կազմակերպում: Հյուրասիրությունը պետք է ներառի սեզոնային մրգերի և խմորեղենների տեսականի, շամպայնի, կարմիր և սպիտակ գինիների, 3 տեսակի բնական հյութերի, բնական և հանքային ջրի, տաք և սառը սուրճի առկայություն:
	Փակման պաշտոնական միջոցառումից հետո գալա-ընթրիքի կազմակերպում՝ 130 անձի համար ռեստորանում՝ վայրը նախապես համաձայնեցնելով Պատվիրատուի հետ: Ճաշացանկը պետք է ներառի պանրային նախուտեստների տեսականի՝ առնվազն 3 տեսակ, մսային նախուտեստների տեսականի՝ առնվազն 3 տեսակ, բանջարեղենի թարմ տեսականի, ձիթապտղի տեսականի՝ առնվազն 2 տեսակ, աղցաններ՝ առնվազն 3 տեսակ, տաք ուտեստներ՝ առնվազն 3 տարբերակ (խորովածի տեսականի՝ հավի, խոզի և հորթի, պլեճ/ֆրի, խորոված բաջարեղեն և խորոված ստերլեց կամ իշխան), հաց, լավաշ, կիտրոն, կանաչի, սեզոնային մրգի տեսականի, խմիչք՝ առնվազն 3 տեսակի (օղի՝ բարձրակարգ (պրեմիում) սպիրտից թորված, կոնյակ, գինի՝ կարմիր և սպիտակ), 3 տեսակի բնական հյութեր, զովացուցիչ ըմպելիքներ, բնական և հանքային ջուր, տոնական տորթ՝ «Ներուժ 6.0»-ի տարբերանշանով՝ նախատեսված 130 անձի համար (դիզայնը համաձայնեցնել Պատվիրատուի հետ):  
Գալա ընթրիքի ժամանակ անհրաժեշտ է DJ-ի ապահովում (երաժշտական գործիքներով և անհրաժեշտ տեխնիկայով)՝ առավելագույնը՝ 4 ժամ տևողությամբ:
Բոլոր օրերի ճաշացանկերը նախապես պետք է համաձայնեցնել Պատվիրատուի հետ:
4.	Միջոցառման շրջանակներում սուրճի հյուրասիրություն
Սուրճի հյուրասիրության կազմակերպում միջոցառման վայրի տարածքում՝ դասընթացների և հանդիպումների ողջ ընթացքում՝ 5 օր, առավելագույնը 70 անձի համար (շահառուներ, մասնագետներ, մենթորներ): Սպասարկող անձակազմ անհրաժեշտ չէ: 
Սուրճի հյուրասիրությունը ներառում է բնական և հանքային ջուր, հյութ, խմորեղեն/թխվածքաբլիթ, միրգ, շաքարավազ, զովացուցիչ ըմպելիքներ, թեյ, լուծվող սուրճ, այդ թվում՝ մշտապես տաք ջուր ապահովող էլեկտրական սարք կամ ջրի դիսպենսեր, մեկանգամյա օգտագործման միջին չափի թղթե բաժակներ և ափսեներ, սուրճը/թեյը խառնելու համար նախատեսված փայտիկներ, անձեռոցիկ:
5.	Միջոցառման շրջանակներում սննդի ապահովում
Նախաճաշ 5 օր, առավելագույնը՝ 100 անձի համար
Նախաճաշը ներառում է թեյ, սև և լուծվող սուրճ, թթվասեր, կաթնաշոռ, շոկոլադե խյուս, կարագ, ձու, նրբերշիկ, հացահատիկային փաթիլների առնվազն 2 տեսակ, մուրաբաների 2 տեսակ, պանրային նախուտեստների և մսի տեսականի, տաք ուտեստ՝ առնվազն 3 տեսակ (կարտոֆիլի խյուս, հավկիթ, հնդկաձավար, բրինձ, տապակած կանաչ ոլոռ, գյուղական կարտոֆիլ, նրբերշիկ), թարմ սեզոնային բանջարեղենի և մրգի տեսականի (վարունգ, լոլիկ, պղպեղ, գազար, խնձոր, դեղձ, ծիրան, կեռաս, ելակ, բանան, անանաս), 2 տեսակի բնական հյութ, ջուր, հաց, լավաշ, խմորեղեն (շոկոլադե, մրգային):
Ճաշ 5 օր, առավելագույնը՝ 100 անձի համար 
Ճաշը ներառում է պանրային և մսային նախուտեստ, 2 տեսակ ապուր (բրնձով ապուր, հավով ապուր, թանապուր, բանջարեղենային ապուր, ոսպով ապուր, բորշ), 2 տեսակ աղցան (բանջարեղենային և մսային), 4 տաք ուտեստ (տապակած կարտոֆիլ, տապակած թարմ լոբի, տապակած սմբուկ, սունկ, պղպեղ և լոլիկ, հաճարով փլավ, սպագետտի, հավի միս, քուֆթա, տավարի միս, հավի և խոզի միս ջեռոցում՝ բանջարեղենով, հավի և տավարի կոտլետ), բանջարեղենի և մրգի տեսականի (վարունգ, լոլիկ, պղպեղ, գազար, խնձոր, դեղձ, ծիրան, կեռաս, ելակ, բանան, անանաս), 2 տեսակի բնական և գազավորված հյութեր, ջուր, հաց, լավաշ:
Ընթրիք 5 օր, առավելագույնը՝ 100 անձի համար 
Ընթրիքը ներառում է 3 տաք ուտեստ (տապակած ձուկ, տապակած սմբուկ պղպեղով, տավարի/հավի միս, կարտոֆիլ, հնդկաձավար, մակարոն, հավի խորտիկներ, հաճարով փլավ, խոզի տապակա, խոզի մսով «Կերուսուս»), պանրային և մսային նախուտեստ, թարմ սեզոնային բանջարեղենի և մրգի տեսականի (վարունգ, լոլիկ, պղպեղ, գազար, խնձոր, դեղձ, ծիրան, կեռաս, ելակ, բանան, անանաս), թխվածքների 3 տեսակ, շոկոլադե խյուս, կարագ, խտացրած կաթ, թեյ, սուրճ, 2 տեսակ հյութ, ջուր, հաց, լավաշ:
	Նախաճաշերի, ճաշերի և ընթրիքների ճաշացանկերը պետք է նախապես համաձայնեցնել Պատվիրատուի հետ:
6.	Տրանսպորտային ծառայություններ
●	Միջոցառման առաջին օրը Միջոցառման կազմակերպիչների և մասնակիցների տեղափոխության ապահովում Երևան քաղաքի Վազգեն Սարգսյան 3/3 հասցեից միջոցառման անցկացման վայր՝ առնվազն 120 անձի համար:
●	Միջոցառման վերջին օրը Միջոցառման կազմակերպիչների և մասնակիցների տեղափոխության ապահովում Միջոցառման անցկացման վայրից Երևան քաղաքի Վազգեն Սարգսյան 3/3 հասցե՝ առնվազն 120 անձի համար:
●	Միջոցառման բացման և փակման օրերին, ինչպես նաև միջոցառման այլ օրերին (ըստ անհրաժեշտության) լրատվամիջոցների ներկայացուցիչների և այլ հյուրերի տեղափոխության ապահովում Երևան քաղաքի Վազգեն Սարգսյան 3/3 հասցեից Միջոցառման անցկացման վայր և հակառակ ուղղությամբ՝ առնվազն 30 անձի համար: 
●	Ըստ անհրաժեշտության՝ բանախոսների տեղափոխության ապահովում Երևան քաղաքի Վազգեն Սարգսյան 3/3 հասցեից Միջոցառման անցկացման վայր և հակառակ ուղղությամբ՝ մինչև 4 անձի համար:
●	Մշակութային այցերի ապահովում Միջոցառման անցկացման վայրից առավելագույնը 100 կմ հեռավորությամբ՝ առնվազն 100 անձի համար՝ զբոսավարի ուղեկցությամբ:
Շրջայցերը պետք է իրականացվեն սարքին և մաքուր վիճակում գտնվող հարմարավետ տրանսպորտային միջոցներով՝ ավտոբուսներ և/կամ միկրոավտոբուսներ, մարդատար մեքենա: Տեղափոխությունները պետք է կազմակերպվեն MAN, NEOPLAN, MERCEDES կամ համարժեք մակնիշների արտադրության բարձրակարգ ավտոբուսներով կամ միկրոավտոբուսներով: Նրանք պետք է հագեցած լինեն օդակարգավորման համակարգով,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7.	Ծրագրի մշակութային բաղադրիչի կազմակերպում
Մշակութային բաղադրիչի շրջանակում անհրաժեշտ է ներառել ազգային պարերի ուսուցում՝ 2 պարուսույցի մասնակցությամբ` (պարուսույցների ընտրությունը նախապես համաձայնեցնել Պատվիրատուի հետ)՝ համապատասխան տեխնիկայի ապահովմամբ՝ առնվազն 3 օր` 2 ժամ տևողությամբ:
Միջոցառման շրջանակներում նախատեսված են այցեր մշակութային վայրեր և հաստատություններ, որոնց ընթացքում անհրաժեշտ է ապահովել զբոսավարի ուղեկցություն:
8.	Տեսալուսանկարահանման ապահովում
Ծրագրի տեսալուսանկարահանման համար անհրաժեշտ է առնվազն 1 լուսանկարիչ, 2 տեսանկարահանող և 1 լրագրող:
Տեսալուսանկարահանումներն իրականացվելու են ծրագրի անցկացման համար ընտրված քաղաքում, նաև՝ Երևանում, ներառում են ոչ աշխատանքային օրեր և ժամեր: 
Ծրագրի ավարտից առավելագույնը 30 օր հետո Կատարողը պետք է Պատվիրատուին տրամադրի ծրագրի վերաբերյալ ամփոփիչ տեսաֆիլմ՝ առնվազն 15 րոպե տևողությամբ: 
Տեսաֆիլմում ներառելու համար Կատարողը պետք է կազմակերպի հարցազրույցների անցկացում ծրագրի մասնակիցների, նախարարության ղեկավար կազմի, պատասխանատու ստորաբաժանման աշխատակիցների, դասախոսների հետ՝ ծրագրի վերաբերյալ տպավորությունները ներկայացնելու նպատակով: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տարբերակ, 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անգլերեն և ռուսերեն ենթագրերով, Կատարողը
պարտավոր է իրականացնել թարգմանությունը:
Եթե տեսաֆիլմն ունի լրագրողական տեքստ, Կատարողը նախապես պետք է այն համաձայնեցնի Պատվիրատուի հետ: 
Ֆիլմը պետք է համապատասխանի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լուսային սարքավորումների, ձայնային սարքավորումների, կցվող խոսափողների ապահովում,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Լրագրողը պարտավոր է իրականացնել անգլերեն և ռուսերեն լեզուներով հարցազրույցներ, եթե մասնակիցները չեն տիրապետում հայերենին։ 
Պատվիրատուն իրավունք ունի մինչև տեսաֆիլմի վերջնական տարբերակի հաստատումը կատարել՝ անհրաժեշտության դեպքում, առավելագույնը 5 անգամ դիտարկում և/կամ փոփոխություն՝ նախապես Կատարողի հետ ձեռքբերված պայմանավորվածության համաձայն։ Կատարողը պարտավոր է տրամադրել Պատվիրատուին ֆիլմի համար իրականացրած նաև նկարահանումների չմոնտաժված ամբողջական նյութերը կոշտ կրիչով: 
       Փակման արարողության ժամանակ ցուցադրելու նպատակով Կատարողը պարտավոր է Պատվիրատուին տրամադրել ծրագիրը ներկայացնող ամփոփ տեսանյութ՝ մինչ 5 րոպե տևողությամբ:
Պրոֆեսիոնալ տեսախցիկով լուսանկարահանումներից հետո յուրաքանչյուր օրվա ավարտին Կատարողը պարտավոր է Պատվիրատուին տրամադրել տվյալ օրվա նկարահանումների մշակված լուսանկարները: Յուրաքանչյուր օրվա համար Կատարողը Պատվիրատուին պետք է տրամադրի առավելագույնը 30 մշակված լուսանկար և չմշակված մնացյալ լուսանկարները:
Lուսանկարները պետք է.
1. Պարունակեն ծրագրի բրենդային տարրերը՝ ծրագրի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Կատարողը պարտավոր է տրամադրել լուսանկարներն ամբողջությամբ՝ բարձր որակով։ Լուսանկարները պետք է լինեն վառ և բնական գույներով, պատկերը պետք է լինի հստակ, լույսից չվառված:
9.Անհրաժեշտ պարագաների և տպագրության ապահովում
Բոլոր պարագաների չափերը, ձևերը և դիզայնը նախապես անհրաժեշտ է համաձայնեցնել Պատվիրատուի հետ: 
●	Հուդի (առնվազն 50% բամբակ)՝ շղթայով, առանց գլխարկի՝ ծրագրի տարբերանշանով, գույնը՝ մուգ կապույտ՝ 120 հատ (XS, S, M, L, XL, XXL չափսերի․ քանակները կտրամադրվեն լրացուցիչ),
▪	Ուսապարկ՝ առնվազն 15-20 լիտր տարողությամբ, ծրագրի տարբերանշանով, գույնը՝ մուգ կապույտ կամ սև՝ 120 հատ,
●	Նոթատետր՝ կոշտ կազմով, 21*15սմ (А5) չափսի, հորիզոնական բացվող, առանց գծերի, առնվազն 100 էջ, գույնը՝ մուգ կապույտ, ծրագրի տարբերանշանով՝ 120 հատ,
●	Գրիչ՝ կապույտ միջուկով՝ ծրագրի տարբերանշանով, գույնը՝ մուգ կապույտ, 120 հատ,
●	Անվանաքարտ (Բեյջ) + ժապավեն, անփայլ 9*13սմ չափերով, ծրագրի տարբերանշանով՝ 120 հատ,
●	Վկայական՝ Թուղթը՝ А4 ձևաչափի, օֆսեթային, 250±10 գ/մ 2 խտությամբ: Գույնը՝ սպիտակ, տպագրությունը՝ միակողմանի, գունավոր: Դիմերեսին՝ ՀՀ զինանշանը՝ գունավոր, բարձրությունը՝ 4 ±0,5 սմ, լայնությունը՝ 4,5 ± 0,5 սմ՝ վերևի հատվածում, և նախարարության անվանումը: Վկայականի վրա կտպագրվի մասնակցությունը հավաստող տեքստ (տառաչափերը, տպագրվող տեքստի բովանդակությունը և տարբերանշանի էլեկտրոնային տարբերակը կտրամադրվի Պատվիրատուի կողմից՝ էլ.տարբերակով՝ PDF, CDR ձևաչափով): Նմուշը նախապես համաձայնեցնել Պատվիրատուի հետ՝ 120 հատ,
●	Թղթապանակ՝ նախատեսված A4 (210x297մմ) ձևաչափի թղթերի (վկայականների) համար՝ հորիզոնական ձևով: Թուղթը՝ A4 ձևաչափի, օֆսեթային, առնվազն 240 գ/քմ խտությամբ, գույնը՝ մուգ կապույտ: Թղթապանակը ներսից՝ ներքևի մասում, պետք է ունենա չորս անկյուններում կտրվածք՝ А4 ֆորմատի փաստաթղթի համար նախատեսված: Տպագրությունը՝ միակողմանի, դիմերեսին՝ կենտրոնում, ՀՀ զինանշանը և նախարարության անվանումը: Հայաստանի զինանշանի տպագրությունը՝ սպիտակ/ոսկեգույն՝ 3 x 4սմ±0,5սմ (լայնություն, բարձրություն): Թղթապանակի վրա տպագրվող տեքստը՝ ոսկեգույն/սպիտակ, տառաչափերը՝ 0,9 x 1սմ±0,2 սմ (լայնություն, բարձրություն) նախապես համաձայնեցնել Պատվիրատուի հետ: Պատվիրատուի կողմից կտրամադրվի զինանշանի և գրառման նմուշի էլ.տարբերակը՝ PDF, CDR ձևաչափով՝ 120 հատ:
●	Հաղթական սերտիֆիկատներ` տպագրված ՊՎՔ-ի վրա, ծրագրի տարբերանշանով, չափը՝ 80*40սմ՝ 6 հատ,
●	Կրծքանշան՝ նյութը՝ մետաղե, ձևը՝ քառակուսի, չափսը՝ 2x2 սմ, արծաթագույն, դիմերեսին միջոցառման անվանում՝ 0.5 ± 0.1մմ տառաչափով, գույնը՝ սև: Հետին մասը ամրացվում է մետաղական ամրակով, ծրագրի տարբերանշանով՝ 120 հատ,
●	Հուշանվերներ՝ ֆոտոկրիստալ անհատական փորագրությամբ, ծրագրի տարբերանշաններով՝  16 հատ,
●	Անձրևանոց՝ ջրակայուն կամ ջրի ներգործությանը չենթարկվող, մարմնի վերին մասի համար նախատեսված անձրևից քողարկվելու վերնահագուստ, գույնը՝ մուգ կապույտ կամ սև, ծրագրի տարբերանշանով` 120 հատ,
●	Թղթե տոպրակներ՝ 250±10 գ/մ 2 խտությամբ, ուղղահայաց, չափսը՝ 40 x 26 x 11սմ բռնակները՝ թղթե, գույնը՝ մուգ կապույտ՝ կենտրոնական հատվածում, Պատվիրատուի տարբերանշանը: Թղթե տոպրակի վրա կտպագրվի տեքստ` առավելագույնը 5 բառ (տառաչափերը, տպագրվող տեքստի բովանդակությունը և տարբերանշանի էլեկտրոնային տարբերակը կտրամադրվի Պատվիրատուի կողմից՝ էլ.տարբերակով՝ PDF, CDR ձևաչափով)՝ 20 հատ,
●	ՀՀ ԲՏԱ նախարարության, գործընկերների և Ծրագրի տարբերանշաններով գունավոր բաներներ՝ 3 հատ (2 հատ՝ չափերը՝ 300*200սմ, 1 հատ՝ 150*200),
●	Ֆլիպչարտ` իր հենակով՝ 3 հատ,
●	A4 ֆորմատի թուղթ՝ 2 տուփ,
●	Մարկեր թղթի համար՝ առնվազն 3 գույնի (դեղին, կանաչ, մանուշակագույն)՝ 20 հատ,
●	Կպչուն թղթեր՝ 25 հատ:
Վերոնշյալ կետերում նշված պարագաների փաթեթները պատրաստ վիճակում անհրաժեշտ է ներկայացնել Պատվիրատուին՝ միջոցառման անցկացման օրվանից առնվազն 10 օր առաջ:
10.	Պահանջվող մասնագետներ
Համաժամանակյա թարգմանության ապահովում (հայերեն-անգլերեն, անգլերեն-հայերեն, հայերեն-ռուսերեն, ռուսերեն-անգլերեն)` 120 թարգմանչական սարքերի և այլ տեխնիկական միջոցների առկայությամբ:
●	Հաղորդավարի ապահովում բացման և փակման արարողությունների ժամանակ՝ Պատվիրատուի հետ նախապես համաձայնեցնելով:
* Ծրագրի շրջանակում ձեռք բերված բոլոր պարագաները մնում են Պատվիրատուին:
Միջոցառման վերաբերյալ կարևոր տվյալներ
Միջոցառման անցկացում՝	2025 թ․, սեպտեմբերի 22-27
Միջոցառման անցկացման վայր՝	Հայաստան (Դիլիջան, Ջերմուկ կամ Ծաղկաձոր)
Միջոցառման լեզուն՝	Հայերեն, անգլերեն և ռուսերեն
Մասնակից թիմերի թիվ՝	Մինչև 35
Միջոցառման մասնակիցների ընդհանուր թիվ	Մինչև 120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Դիլիջան, Ջերմուկ կամ Ծաղկաձոր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սեպտեմբերի 22-27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501" w:rsidRDefault="00610501">
      <w:r>
        <w:separator/>
      </w:r>
    </w:p>
  </w:endnote>
  <w:endnote w:type="continuationSeparator" w:id="0">
    <w:p w:rsidR="00610501" w:rsidRDefault="00610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501" w:rsidRDefault="00610501">
      <w:r>
        <w:separator/>
      </w:r>
    </w:p>
  </w:footnote>
  <w:footnote w:type="continuationSeparator" w:id="0">
    <w:p w:rsidR="00610501" w:rsidRDefault="00610501">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w:t>
      </w:r>
      <w:bookmarkStart w:id="13" w:name="_GoBack"/>
      <w:r w:rsidRPr="001D5F9B">
        <w:rPr>
          <w:rFonts w:ascii="Calibri" w:hAnsi="Calibri" w:cs="Calibri"/>
          <w:i/>
          <w:sz w:val="18"/>
          <w:szCs w:val="18"/>
          <w:lang w:val="pt-BR"/>
        </w:rPr>
        <w:t xml:space="preserve">գնումների բազային միավորի քսանհիգապատիկը , ապա սույն կետը խմբագրվում է` վերջինից հանելով 4-րդ նախադասությունը, իսկ 5-րդ նախադասությունը </w:t>
      </w:r>
      <w:bookmarkEnd w:id="13"/>
      <w:r w:rsidRPr="001D5F9B">
        <w:rPr>
          <w:rFonts w:ascii="Calibri" w:hAnsi="Calibri" w:cs="Calibri"/>
          <w:i/>
          <w:sz w:val="18"/>
          <w:szCs w:val="18"/>
          <w:lang w:val="pt-BR"/>
        </w:rPr>
        <w:t xml:space="preserve">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319CF"/>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6A496-858A-4835-8137-7BD5B861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56</Pages>
  <Words>17693</Words>
  <Characters>100855</Characters>
  <Application>Microsoft Office Word</Application>
  <DocSecurity>0</DocSecurity>
  <Lines>840</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118312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299</cp:revision>
  <cp:lastPrinted>2018-02-16T07:12:00Z</cp:lastPrinted>
  <dcterms:created xsi:type="dcterms:W3CDTF">2020-06-23T11:05:00Z</dcterms:created>
  <dcterms:modified xsi:type="dcterms:W3CDTF">2025-03-17T13:15:00Z</dcterms:modified>
</cp:coreProperties>
</file>