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դպրոցական պայուսակների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դպրոցական պայուսակների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դպրոցական պայուսակների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դպրոցական պայուսակների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Նուբարաշեն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Դպրոցահասակ երեխաներին տրամադրելու համար անհրաժեշտ է ձեռք բերել թվով  160 հատ աշակերտական  ջրակայուն պայուսակներ: Պայուսակի չափսերը պետք է լինեն՝ 30-45սմ լայնություն և  40-45սմ բարձրություն: 2 բռնակով հարմարեցված ձեռքով բռնելու  և ուսին գցելու համար: Ուսագոտիները պատրաստված լինեն փափուկ կտորից՝ առնվազն  5սմ լայնքով, որոնց երկարությունը հնարավոր լինի կառավարել:  Պատրաստված լինի էկոլոգիապես մաքուր, ամուր և որակյալ գործվածքից՝ առանց  յուրահատուկ հոտի: Մեջքի հատվածում օրթոպեդիկ  հատուկ շնչող մակերեսով, քաշը չգերազանցի 1կգ: Պայուսակը լինի արտաքին գրպաններով նախատեսված նաև ջրի շշի համար, ներսից ևս ունենա  նվազագույնը 2 գրպաններ: Արտաքինից լինի  նկարազարդ, գեղեցիկ գունազարդված: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պայուսակներ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