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ՀՀԱՄՄՀ-ԷԱՃԱՊՁԲ-25/45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Мецаморский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область, город Мецамор, Административный центр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ՀՀԱՄՄՀ-ԷԱՃԱՊՁԲ-25/45 для нужд Муниципалитета Мецамора.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Վահե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v.vardanyan@promotion.am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Мецаморский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ՀՀԱՄՄՀ-ԷԱՃԱՊՁԲ-25/45</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Мецаморский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Мецаморский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ՀՀԱՄՄՀ-ԷԱՃԱՊՁԲ-25/45 для нужд Муниципалитета Мецамора.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ՀՀԱՄՄՀ-ԷԱՃԱՊՁԲ-25/45 для нужд Муниципалитета Мецамора.</w:t>
      </w:r>
      <w:r>
        <w:rPr>
          <w:rFonts w:ascii="Calibri" w:hAnsi="Calibri" w:cstheme="minorHAnsi"/>
          <w:b/>
          <w:lang w:val="ru-RU"/>
        </w:rPr>
        <w:t xml:space="preserve">ДЛЯ НУЖД  </w:t>
      </w:r>
      <w:r>
        <w:rPr>
          <w:rFonts w:ascii="Calibri" w:hAnsi="Calibri" w:cstheme="minorHAnsi"/>
          <w:b/>
          <w:sz w:val="24"/>
          <w:szCs w:val="24"/>
          <w:lang w:val="af-ZA"/>
        </w:rPr>
        <w:t>Мецаморский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ՀՀԱՄՄՀ-ԷԱՃԱՊՁԲ-25/45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v.vardanyan@promotion.am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ՀՀԱՄՄՀ-ԷԱՃԱՊՁԲ-25/45 для нужд Муниципалитета Мецамора.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ՀՀԱՄՄՀ-ԷԱՃԱՊՁԲ-25/45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ՀՀԱՄՄՀ-ԷԱՃԱՊՁԲ-25/45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который используется в качестве топлива для двигателей вместо бензина. Основной компонент — смесь пропана и бутана. Состав сжиженного газа должен быть: а) плотность водяного пара в сжиженном газе не более 32 мг/м3 б) сероводорода и других растворимых сульфидов не более 23 мг/м3. в) кислород: не более 1% (объемная доля). г) диоксид углерода: не более 4% (объемная доля). д) водорода - не более 0,1% (объемная доля). ГОСТ 20448-90. Поставка газа должна осуществляться на талонной основе. Автозаправочные станции должны располагаться на расстоянии не более 10 км от здания муниципалитета Мецамор, на территории муниципалитета Мецамор или в прилегающих населенных пунктах.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Армавирская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 момента вступления договора в силу (за исключением случаев, когда выбранный участник согласен исполнить договор в более короткий срок), по требованию заказчика, каждый раз в течение 20 календарных дней с момента получения заказа, в период до 30.12.2025 включительно. При этом договор подлежит расторжению по неисполненной сумме на дату 30.12.2025,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