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հեղուկ գազի ձեռքբերման նպատակով ՀՀԱՄՄՀ-ԷԱՃԱՊՁԲ-25/45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հեղուկ գազի ձեռքբերման նպատակով ՀՀԱՄՄՀ-ԷԱՃԱՊՁԲ-25/45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հեղուկ գազի ձեռքբերման նպատակով ՀՀԱՄՄՀ-ԷԱՃԱՊՁԲ-25/45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հեղուկ գազի ձեռքբերման նպատակով ՀՀԱՄՄՀ-ԷԱՃԱՊՁԲ-25/45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ՀՀԱՄՄՀ-ԷԱՃԱՊՁԲ-25/45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ՀՀԱՄՄՀ-ԷԱՃԱՊՁԲ-25/45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ՄԵԾԱՄՈՐԻ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Գազի մատակարարումը պետք է իրականացվի կտրոնային տարբերակով։ Լցակայանեերը պետք է գտնվեն Մեծամոր համայնքապետարանից առավալագույնը 10կմ հեռավորության վրա՝ Մեծամորի համայնքի տարածքում կամ հարակից բնակավայրերում։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ըստ պատվիրատուի պահանջի՝ յուրաքանչյուր անգամ պատվերը ստանալուց հետո 20 օրացույցային օրվա ընթաքում, մինչև 30.12.2025թ. ներառյալ ընկած ժամանակահատվածում: Ընդ որում՝ մինչև 30.12.2025թ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