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41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41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41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ՎԱՔՏ-ԷԱՃԱՊՁԲ-25/17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ՎԱՔՏ-ԷԱՃԱՊՁԲ-25/17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Պայմանագիրն ուժի մեջ մտնելուց հետո պայմանագրով սահմանված Գնորդի իրավունքներն ու պարտավորությունները փոխանցվում են Քաղաքաշինության, տեխնիկական և հրդեհային անվտանգության տեսչական մարմնին՝ բացառությամբ ֆինանսական գործառույթների:</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 ըստ գործող օրենսդրության: Պայմանական նշանները՝ վախենում է կրակից: Տեղափոխման անվտանգությունը ՝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50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