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ԳՄՄՀ-ԷԱՃԱՊՁԲ-25/09</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глубинного насоса для нужд общины Мартуни Гегаркуникского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глубинного насоса для нужд общины Мартуни Гегаркуникского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Электроцентробежный водяной насос ЭЦВ 10-65-110 или аналог
Диаметр трубы 250 мм
Номинальный расход воды не менее 65 куб.м/час
Номинальный напор не менее 110 м
Диапазон подачи воды 50-74 куб.м/час
Диапазон давлений 103-121 м
Максимальный диаметр насоса 235 мм.
Длина 1430 мм.
Вес блока 183-186 кг
Мощность не менее 32 -33 кВт
Номинальный ток 65 Ампер
Напряжение питания 380 вольт
Частота вращения 2850 -3000 об/мин
Материал: нержавеющая сталь.
Монтаж и пусконаладочные работы будут осуществляться победителем конкурса за свой счет. Продукция должна быть неиспользованной /новой/,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