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глубинного насоса для нужд общины Мартуни Гегаркуникского региона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ԳՄՄՀ-ԷԱՃԱՊՁԲ-25/09</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глубинного насоса для нужд общины Мартуни Гегаркуникского региона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глубинного насоса для нужд общины Мартуни Гегаркуникского региона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глубинного насоса для нужд общины Мартуни Гегаркуникского региона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Электроцентробежный водяной насос ЭЦВ 10-65-110 или аналог
Диаметр трубы 250 мм
Номинальный расход воды не менее 65 куб.м/час
Номинальный напор не менее 110 м
Диапазон подачи воды 50-74 куб.м/час
Диапазон давлений 103-121 м
Максимальный диаметр насоса 235 мм.
Длина 1430 мм.
Вес блока 183-186 кг
Мощность не менее 32 -33 кВт
Номинальный ток 65 Ампер
Напряжение питания 380 вольт
Частота вращения 2850 -3000 об/мин
Материал: нержавеющая сталь.
Монтаж и пусконаладочные работы будут осуществляться победителем конкурса за свой счет. Продукция должна быть неиспользованной /новой/, в заводской упаковке.
Гарантия: минимум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