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ԿԲԱԿ-ԷԱՃԱՊՁԲ-25/18</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 стеклянный флакон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капсулы.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50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таблетка 200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15° до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при температуре не выше 25°С. Условия хранения: в сухом, защищенном от света и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15°С-25°С.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тофизопама 50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10% для наружного применения 60 мл пластиковая тара: Новая, неиспользованная,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15°С,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мг/мл, стеклянный флакон 2 мл.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с односторонней иглой 21G*1 1/2. Наличие сертификата(ов) качества CE MARK или FDA является обязательным для любой поставляемой партии. Продукция также должна иметь сертификаты качества ISO13485 или ГОСТ Р ИСО 13485. Новый, неиспользованный, в заводской упаковке. Включает технические характеристики, особенности и инструкции по эксплуатации в форме заводского руководства. Не менее 75% от общего срока годности на момент поставки. В картонных коробках по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прибор для измерения артериального давления у взрослых, алюминиевый корпус, состоящий из манжеты на плечо, сдутой латексной груши, стетоскопа, манометра (встроенного), металлического клапана и сумки для хранения набора. Микрофильтры защищают выпускной клапан и измерительную систему. Наличие сертификата(ов) качества CE MARK или FDA является обязательным для любой поставляемой партии. Продукция также должна иметь сертификаты качества ISO13485 или ГОСТ Р ИСО 13485. Он новый, неиспользованный, в заводской упаковке. Включает в себя технические показатели, характеристики и правила эксплуатации в форме заводского руководства. Не менее 75% от общего срока годности на момент поставки. Заказчик обязан провести калибровку поставленного изделия. Если в результате калибровки изделие будет признано непригодным к использованию, оно будет возвращено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шкале Фаренгейта и Цельсия. Возможность подачи звукового сигнала в случае высоких температур. Цифровой ЖК-экран. Функция памяти, автоматическое отключение, погрешность: +/-0,3 градуса Цельсия. Автоматическое отключение: 12 В, элементы питания: 2 шт. - АА 1,5 В (батарейки входят в комплект). Функции памяти: многофункциональная конструкция, можно измерять от лба и уха. Наличие сертификата(ов) качества CE MARK или FDA является обязательным для любой поставляемой партии. Продукция также должна иметь сертификаты качества ISO13485 или ГОСТ Р ИСО 13485. Если в результате проверки будет установлено, что товар непригоден к использованию, он будет возвращен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таблетки 150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пероральной суспензии 3 г, со вкусом апельсина.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таблетки 25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