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ԿԾԿԾԻԳ-ԷԱՃԱՊՁԲ-25/4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БРП ОНКС РА “Центр образовательных программ”</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0070, ул. С. Врацяна 73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БРП ОНКС РА “Центр образовательных программ”</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ԿԾԿԾԻԳ-ԷԱՃԱՊՁԲ-25/4</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БРП ОНКС РА “Центр образовательных программ”</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БРП ОНКС РА “Центр образовательных программ”</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БРП ОНКС РА “Центр образовательных программ”</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ԿԾԿԾԻԳ-ԷԱՃԱՊՁԲ-25/4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ԿԾԿԾԻԳ-ԷԱՃԱՊՁԲ-25/4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БРП ОНКС РА “Центр образовательных программ”</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"ԿԾԿԾԻԳ-ԷԱՃԱՊՁԲ-25/4"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"ԿԾԿԾԻԳ-ԷԱՃԱՊՁԲ-25/4"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ԿԾԿԾԻԳ-ԷԱՃԱՊՁԲ-25/4*</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БРП ОНКС РА “Центр образовательных программ”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ԿԾԿԾԻԳ-ԷԱՃԱՊՁԲ-25/4</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ԿԾԿԾԻԳ-ԷԱՃԱՊՁԲ-25/4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Металлический каркас рабочего стула должен быть изготовлен из полых овальных металлических трубок сечением 30X15 X 2,0 мм. Сварные швы металлического каркаса стула должны быть обработаны, зачищены и покрыты высококачественной черной порошковой краской.
Размеры стула
От земли до сиденья: 49 см,
От земли до верха спины: 83 см,
Ширина сиденья и спинки: 49 см,
Глубина сиденья до спинки: 42 см,
Высота спинки: 30см,
Спинка и задняя часть сиденья изготовлены из пластиковых оболочек, заполненных мебельным поролоном толщиной 25 мм и плотностью 2,5 кг/м3, обтянутых высококачественной, прочной и износостойкой тканью черного цвета.
К ножкам металлического каркаса следует прикрепить пластиковые заглушки из полиэтилена толщиной 2 мм для стенок и 4 мм для части, которая опирается на землю.
Все соединения должны быть выполнены с помощью винтов.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 сентября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