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“Расчетный центр” необходимо приобрести топливо (бензин премиум)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ՀԿ-ԷԱՃԱՊՁԲ-25/02</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“Расчетный центр” необходимо приобрести топливо (бензин премиум)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“Расчетный центр” необходимо приобрести топливо (бензин премиум)</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“Расчетный центр” необходимо приобрести топливо (бензин премиум)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