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20G Լատեքսից: Ֆորմատ-հատ , հանձնելու պահին  պիտանելիության  ժամկետը 2/3 առկայություն , ֆիրմային նշանի առկայությունը: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22G Լատեքսից :Ֆորմատ-հատ ,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24G Լատեքսից: Ֆորմատ-հատ , հանձնելու պահին  պիտանելիության  ժամկետը 2/3 առկայություն , ֆիրմային նշանի առկայությունը : Պայմանական նշանները –պահել  չոր տեղում: Ճկուն  սիլիկոնե  կամ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աղեղ   HAWK  համակարգի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պունկցիոն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ստերիլ, տրոմբոէկտոմիայի համար։ Լվացող և փչող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ստերիլ, տրոմբոէկտոմիայի համար,  միայն փչող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լազերային լուսարձակ տրամագիծ 400/440 պոլիամիդ, 2550+127, արտաքին տրամագիծ 1,25 մմ, քաշը 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առնվազն 20 օրացուցային օր հետո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նեոնատոլոգիական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ատամնավոր ռոլիկ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ասեղ  ինդրադյուսերի համար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