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ՇՄԱՆՀ-ԷԱՃԱՊՁԲ-25/6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Շիրակի մարզ 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Մարալիկ, Մադաթյան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Շիրակի մարզի Անի համայնքապետարանի կարիքների համար բետոնի ձեռքբերման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Զաքարյան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+374 242 2-29-11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ani.hamaynqapetaran.91@mail.ru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Շիրակի մարզ 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ՇՄԱՆՀ-ԷԱՃԱՊՁԲ-25/6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Շիրակի մարզ 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Շիրակի մարզ 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Շիրակի մարզի Անի համայնքապետարանի կարիքների համար բետոնի ձեռքբերման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Շիրակի մարզ 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Շիրակի մարզի Անի համայնքապետարանի կարիքների համար բետոնի ձեռքբերման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ՇՄԱՆՀ-ԷԱՃԱՊՁԲ-25/6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ani.hamaynqapetaran.91@mail.ru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Շիրակի մարզի Անի համայնքապետարանի կարիքների համար բետոնի ձեռքբերման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2025.06.10.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Շիրակի մարզ 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ՇՄԱՆՀ-ԷԱՃԱՊՁԲ-25/6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ՇՄԱՆՀ-ԷԱՃԱՊՁԲ-25/6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«ՇՄԱՆՀ-ԷԱՃԱՊՁԲ-25/6»*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«ՇՄԱՆՀ-ԷԱՃԱՊՁԲ-25/6»*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Շիրակի մարզ Անի համայնքապետարան*  (այսուհետ` Պատվիրատու) կողմից կազմակերպված` ՇՄԱՆՀ-ԷԱՃԱՊՁԲ-25/6*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Շիրակի մարզ 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- 05546057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- 900495101090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B25 350 մարկա, Ջրանցիկություն W 8, Սառցակայունություն F 100 –300, Խտություն 1.8-2.5 տ/մ3, Շարժունակություն P2 – P5, Կոշտություն Zh3-Zh4, Սեղմման դիմադրություն 327 կգ/սմ2 (ՀՀ-ում գործող նորմերին և ստանդարտներին համապատասխան) տեղափոխումը համապատասխան տեխնիկական միջոցներով (բետոն խառնիչ բեռնատար): 5 խմ բետոնը մատակարարվելու է ՀՀ, ՇՄ, Անի համայնք, ք. Մարալիկ, 8 խմ-ն՝ ՀՀ, ՇՄ, Անի համայնք Գուսանագյուղ բնակավայր:  Ապրանքը մատակարարող բետոնախառնիչ տեխնիկական միջոցը կարող է մատակարարման վայրում սպասել մինչև 3 ժամ, բետոնը մաս-մաս դատարկելով, հնարավորություն ստեղծելով աշխատակիցներին՝ տրանսպորտային միջոցի համար անհասանելի վայրում բետոնը ձեռքով տեղափոխելու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Անի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Սույն պայմանագիրն ուժի մեջ մտնելու օրվանից հետո Պատվիրատուից պատվերը ստանալուց հետո 20 օրացուցային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