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2025.05.29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ԵՊՀ-ԷԱՃԱՇՁԲ-25/136</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Ал. Манукяна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Полиграфические работы</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11:30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11</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11:30</w:t>
      </w:r>
      <w:r w:rsidRPr="00F23835">
        <w:rPr>
          <w:rFonts w:ascii="Calibri" w:hAnsi="Calibri"/>
          <w:i w:val="0"/>
          <w:sz w:val="22"/>
          <w:szCs w:val="22"/>
        </w:rPr>
        <w:t xml:space="preserve"> часов на </w:t>
      </w:r>
      <w:r w:rsidRPr="00F23835">
        <w:rPr>
          <w:rFonts w:ascii="Calibri" w:hAnsi="Calibri" w:cs="Calibri"/>
          <w:i w:val="0"/>
          <w:sz w:val="22"/>
          <w:szCs w:val="22"/>
          <w:lang w:val="af-ZA"/>
        </w:rPr>
        <w:t>11</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Анна Агузумцян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gnumner@ysu.am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060710009</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ԵՊՀ-ԷԱՃԱՇՁԲ-25/136</w:t>
      </w:r>
      <w:r w:rsidRPr="00F23835">
        <w:rPr>
          <w:rFonts w:ascii="Calibri" w:hAnsi="Calibri" w:cs="Times Armenian"/>
          <w:i/>
          <w:lang w:val="ru-RU"/>
        </w:rPr>
        <w:br/>
      </w:r>
      <w:r w:rsidR="00A57090" w:rsidRPr="00F23835">
        <w:rPr>
          <w:rFonts w:ascii="Calibri" w:hAnsi="Calibri" w:cstheme="minorHAnsi"/>
          <w:szCs w:val="20"/>
          <w:lang w:val="af-ZA"/>
        </w:rPr>
        <w:t>2025.05.29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Фонд ЕГУ</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Фонд ЕГУ</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Полиграфические работы</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B4631" w:rsidRDefault="00410048" w:rsidP="00410048">
      <w:pPr>
        <w:spacing w:line="240" w:lineRule="auto"/>
        <w:rPr>
          <w:rFonts w:ascii="Calibri" w:hAnsi="Calibri" w:cstheme="minorHAnsi"/>
          <w:sz w:val="20"/>
          <w:szCs w:val="20"/>
          <w:lang w:val="ru-RU"/>
        </w:rPr>
      </w:pPr>
      <w:r w:rsidRPr="00F23835">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w:t>
      </w:r>
      <w:r w:rsidRPr="00FB4631">
        <w:rPr>
          <w:rFonts w:ascii="Calibri" w:hAnsi="Calibri" w:cstheme="minorHAnsi"/>
          <w:sz w:val="20"/>
          <w:szCs w:val="20"/>
          <w:lang w:val="ru-RU"/>
        </w:rPr>
        <w:t>также в Министерство финансов РА (далее также уполномоченный орган) по адрес</w:t>
      </w:r>
      <w:r w:rsidR="00FB4631" w:rsidRPr="00FB4631">
        <w:rPr>
          <w:rFonts w:ascii="Calibri" w:hAnsi="Calibri" w:cstheme="minorHAnsi"/>
          <w:sz w:val="20"/>
          <w:szCs w:val="20"/>
          <w:lang w:val="ru-RU"/>
        </w:rPr>
        <w:t xml:space="preserve">у: г. Ереван, ул. Мелик-Адамяна </w:t>
      </w:r>
      <w:r w:rsidRPr="00FB4631">
        <w:rPr>
          <w:rFonts w:ascii="Calibri" w:hAnsi="Calibri" w:cstheme="minorHAnsi"/>
          <w:sz w:val="20"/>
          <w:szCs w:val="20"/>
          <w:lang w:val="ru-RU"/>
        </w:rPr>
        <w:t>1</w:t>
      </w:r>
      <w:r w:rsidR="00FB4631" w:rsidRPr="00FB4631">
        <w:rPr>
          <w:rFonts w:ascii="Calibri" w:hAnsi="Calibri" w:cstheme="minorHAnsi"/>
          <w:sz w:val="20"/>
          <w:szCs w:val="20"/>
          <w:lang w:val="ru-RU"/>
        </w:rPr>
        <w:t xml:space="preserve"> </w:t>
      </w:r>
      <w:r w:rsidRPr="00FB4631">
        <w:rPr>
          <w:rFonts w:ascii="Calibri" w:hAnsi="Calibri" w:cstheme="minorHAnsi"/>
          <w:sz w:val="20"/>
          <w:szCs w:val="20"/>
          <w:lang w:val="ru-RU"/>
        </w:rPr>
        <w:t>(</w:t>
      </w:r>
      <w:r w:rsidR="00FB4631" w:rsidRPr="00FB4631">
        <w:rPr>
          <w:rFonts w:ascii="Calibri" w:hAnsi="Calibri" w:cstheme="minorHAnsi"/>
          <w:sz w:val="20"/>
          <w:szCs w:val="20"/>
          <w:lang w:val="ru-RU"/>
        </w:rPr>
        <w:t>телефон:(+37411)800-600(1-1-2)</w:t>
      </w:r>
      <w:r w:rsidRPr="00FB4631">
        <w:rPr>
          <w:rFonts w:ascii="Calibri" w:hAnsi="Calibri" w:cstheme="minorHAnsi"/>
          <w:sz w:val="20"/>
          <w:szCs w:val="20"/>
          <w:lang w:val="ru-RU"/>
        </w:rPr>
        <w:t>).</w:t>
      </w:r>
      <w:r w:rsidRPr="00FB4631">
        <w:rPr>
          <w:rFonts w:ascii="Calibri" w:hAnsi="Calibri" w:cstheme="minorHAnsi"/>
          <w:sz w:val="20"/>
          <w:szCs w:val="20"/>
          <w:lang w:val="ru-RU"/>
        </w:rPr>
        <w:br/>
      </w:r>
      <w:r w:rsidRPr="00FB4631">
        <w:rPr>
          <w:rFonts w:ascii="Calibri" w:hAnsi="Calibri" w:cstheme="minorHAnsi"/>
          <w:sz w:val="20"/>
          <w:szCs w:val="20"/>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Полиграфические работы</w:t>
      </w:r>
      <w:r w:rsidR="00410048" w:rsidRPr="00F23835">
        <w:rPr>
          <w:rFonts w:ascii="Calibri" w:hAnsi="Calibri"/>
          <w:b/>
          <w:lang w:val="ru-RU"/>
        </w:rPr>
        <w:t xml:space="preserve">ДЛЯ НУЖД </w:t>
      </w:r>
      <w:r w:rsidRPr="00871866">
        <w:rPr>
          <w:rFonts w:ascii="Calibri" w:hAnsi="Calibri" w:cs="Calibri"/>
          <w:b/>
          <w:lang w:val="af-ZA"/>
        </w:rPr>
        <w:t>Фонд ЕГУ</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ԵՊՀ-ԷԱՃԱՇՁԲ-25/136</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gnumner@ysu.am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Полиграфические работы</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6</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Тканевая сумка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6)которые по состоянию на день подачи заявки включены в список участников, не имеющих права на участие в процессе закупок.</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 xml:space="preserve">Для оценки права на участие участник должен представить в заявке утвержденное им письменное </w:t>
      </w:r>
      <w:r w:rsidRPr="00F23835">
        <w:rPr>
          <w:rFonts w:ascii="Calibri" w:hAnsi="Calibri"/>
          <w:lang w:val="ru-RU"/>
        </w:rPr>
        <w:lastRenderedPageBreak/>
        <w:t>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w:t>
      </w:r>
      <w:r w:rsidRPr="00F23835">
        <w:rPr>
          <w:rFonts w:ascii="Calibri" w:hAnsi="Calibri"/>
          <w:color w:val="000000" w:themeColor="text1"/>
          <w:szCs w:val="22"/>
        </w:rPr>
        <w:lastRenderedPageBreak/>
        <w:t>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11:30</w:t>
      </w:r>
      <w:r w:rsidRPr="00F23835">
        <w:rPr>
          <w:rFonts w:ascii="Calibri" w:hAnsi="Calibri"/>
          <w:lang w:val="ru-RU"/>
        </w:rPr>
        <w:t>" часов "</w:t>
      </w:r>
      <w:r w:rsidR="00470947" w:rsidRPr="00470947">
        <w:rPr>
          <w:rFonts w:ascii="Calibri" w:hAnsi="Calibri" w:cs="Calibri"/>
          <w:lang w:val="af-ZA"/>
        </w:rPr>
        <w:t>11</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384.36</w:t>
      </w:r>
      <w:r w:rsidRPr="00F23835">
        <w:rPr>
          <w:rFonts w:ascii="Calibri" w:hAnsi="Calibri"/>
          <w:szCs w:val="22"/>
        </w:rPr>
        <w:t>драмом, российский рубль</w:t>
      </w:r>
      <w:r w:rsidR="004F59D5" w:rsidRPr="004F59D5">
        <w:rPr>
          <w:rFonts w:ascii="Calibri" w:hAnsi="Calibri" w:cs="Calibri"/>
          <w:szCs w:val="22"/>
          <w:lang w:val="af-ZA"/>
        </w:rPr>
        <w:t>4.8037</w:t>
      </w:r>
      <w:r w:rsidRPr="00F23835">
        <w:rPr>
          <w:rFonts w:ascii="Calibri" w:hAnsi="Calibri"/>
          <w:szCs w:val="22"/>
        </w:rPr>
        <w:t xml:space="preserve"> драмом, евро </w:t>
      </w:r>
      <w:r w:rsidR="00280D4A" w:rsidRPr="00B37B19">
        <w:rPr>
          <w:rFonts w:ascii="Calibri" w:hAnsi="Calibri" w:cs="Calibri"/>
          <w:szCs w:val="22"/>
          <w:lang w:val="af-ZA"/>
        </w:rPr>
        <w:t>436.02</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2025.06.10. 11:30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B4631"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FB4631" w:rsidRPr="00FB4631">
        <w:rPr>
          <w:rFonts w:ascii="Calibri" w:hAnsi="Calibri"/>
          <w:color w:val="000000" w:themeColor="text1"/>
          <w:lang w:val="ru-RU"/>
        </w:rPr>
        <w:t>бюллетене в течение пяти рабочих дней, следующих за днем получения решения</w:t>
      </w:r>
      <w:r w:rsidR="00713086" w:rsidRPr="00713086">
        <w:rPr>
          <w:rFonts w:ascii="Calibri" w:hAnsi="Calibri"/>
          <w:color w:val="000000" w:themeColor="text1"/>
          <w:lang w:val="ru-RU"/>
        </w:rPr>
        <w:t>.</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713086" w:rsidRPr="00713086">
        <w:rPr>
          <w:rFonts w:ascii="Calibri" w:hAnsi="Calibri"/>
          <w:color w:val="000000" w:themeColor="text1"/>
          <w:lang w:val="ru-RU"/>
        </w:rPr>
        <w:t xml:space="preserve"> </w:t>
      </w:r>
      <w:r w:rsidR="00526977"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lang w:val="ru-RU"/>
        </w:rPr>
        <w:t xml:space="preserve">       </w:t>
      </w:r>
      <w:r w:rsidR="00CF27FA" w:rsidRPr="003E76B5">
        <w:rPr>
          <w:lang w:val="ru-RU"/>
        </w:rPr>
        <w:t xml:space="preserve">При этом, </w:t>
      </w:r>
      <w:r w:rsidRPr="00FB4631">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CF27FA" w:rsidRPr="003E76B5">
        <w:rPr>
          <w:lang w:val="ru-RU"/>
        </w:rPr>
        <w:t xml:space="preserve"> " О закупках`, и в результате этого в целях заключения соглашения лицо, заключившее договор в </w:t>
      </w:r>
      <w:r w:rsidR="00CF27FA" w:rsidRPr="003E76B5">
        <w:rPr>
          <w:lang w:val="ru-RU"/>
        </w:rPr>
        <w:lastRenderedPageBreak/>
        <w:t>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xml:space="preserve">-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w:t>
      </w:r>
      <w:r w:rsidR="00526977" w:rsidRPr="00526977">
        <w:rPr>
          <w:rFonts w:ascii="Calibri" w:hAnsi="Calibri"/>
          <w:color w:val="000000" w:themeColor="text1"/>
        </w:rPr>
        <w:lastRenderedPageBreak/>
        <w:t>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lastRenderedPageBreak/>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w:t>
      </w:r>
      <w:r w:rsidRPr="00917534">
        <w:rPr>
          <w:rFonts w:ascii="Calibri" w:hAnsi="Calibri" w:cstheme="minorHAnsi"/>
          <w:lang w:val="ru-RU"/>
        </w:rPr>
        <w:lastRenderedPageBreak/>
        <w:t xml:space="preserve">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w:t>
      </w:r>
      <w:r w:rsidRPr="00F23835">
        <w:rPr>
          <w:rFonts w:ascii="Calibri" w:hAnsi="Calibri" w:cs="Arial"/>
          <w:color w:val="000000" w:themeColor="text1"/>
          <w:lang w:val="ru-RU"/>
        </w:rPr>
        <w:lastRenderedPageBreak/>
        <w:t>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12.15. О рассмотрении дела в судебном заседании суд выносит решение в трехдневный срок по истечении </w:t>
      </w:r>
      <w:r w:rsidRPr="00CC7319">
        <w:rPr>
          <w:rFonts w:ascii="Calibri" w:hAnsi="Calibri"/>
          <w:color w:val="000000" w:themeColor="text1"/>
          <w:lang w:val="ru-RU"/>
        </w:rPr>
        <w:lastRenderedPageBreak/>
        <w:t>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ԵՊՀ-ԷԱՃԱՇՁԲ-25/136</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001C1C48" w:rsidRPr="001C1C48">
        <w:rPr>
          <w:rFonts w:ascii="Calibri" w:hAnsi="Calibri" w:cstheme="minorHAnsi"/>
          <w:lang w:val="ru-RU"/>
        </w:rPr>
        <w:t>ԵՊՀ-ԷԱՃԱՇՁԲ-25/136</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FB4631"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FB4631"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B4631"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B4631"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FB4631"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FB4631"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FB4631"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B4631"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B4631"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FB4631"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FB4631"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FB4631"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FB4631"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FB4631"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FB4631"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"ԵՊՀ-ԷԱՃԱՇՁԲ-25/136"</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ԵՊՀ-ԷԱՃԱՇՁԲ-25/136*.</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"ԵՊՀ-ԷԱՃԱՇՁԲ-25/136"</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ԵՊՀ-ԷԱՃԱՇՁԲ-25/136*.</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FB4631">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ԵՊՀ-ԷԱՃԱՇՁԲ-25/136</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20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1</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одного</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0.18</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восемнадцать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__</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ЭКО-ручка, цвет белый с синей маркировкой, гравировка исторический факультет ЕГУ, сердечник синий, размер 135-140 x 6-9 мм, на ручке не должно быть напечатано или выгравировано название какой-либо другой торговой марки:
Согласовать внешний вид, качество, тип, форму, размер, цвет ручек с заказчиком. 
Все сделанные печатные файлы исполнитель обязан предоставить ЕГУ в электронном виде, которые должны быть одобрены ЕГУ, после чего только начнется печать. Исполнитель должен предоставить заказчику образец, который должен быть одобрен ЕГУ. После утверждения ЕГУ и при наличии требуемого качества только основная печать будет упакована в картонную коробку. 
Доставка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цветной, начинка односторонняя, одноцветная печать, размер 150x205 мм, плотность 80 г / м3, способ формования: белая пружинная форма:
 Количество листов: 45, в ряд, 1 Цвет, A 5, на обложке будет написано՝ 
Факультет истории ЕГУ:  
На фото: изображение VI-го корпуса (черное здание) ЕГУ. Качество, тип, форма блокнотов, согласовать с заказчиком. Исполнитель должен предоставить заказчику образец, который должен быть одобрен ЕГУ. После утверждения ЕГУ и при наличии требуемого качества только основная печать будет упакована в картонную коробку. Организация-победитель обязуется предоставить заказчику окончательную распечатку в течение 1 недели после подписания контракта. доставка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меловой, 300 гр. м2, бумага размером 43x31, с карманом, карманы внутри на страницах 2 и 3, Страница 4 Полностью белая 
Размер каждого: 10 х 22 см,
Бумага 350 грамм: бумага для рисования на бумаге или бумага высокого качества, покрытая мелом. Согласуйте качество, тип, форму, размер, цвет папок с заказчиком. 
Исполнитель должен предоставить заказчику образец, который должен быть одобрен ЕГУ. После подтверждения и при наличии требуемого качества только базовая печать будет упакована в картонную коробку.Доставка поставщиком
(50 примеров обложки по рисунку ниже)
(50 примеров обложки по рисунку ниже)
(пример 90 для обложки на картинке ниже)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Тканевая сумка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тканевом пакете с логотипами и надписями ЕГУ и мероприятия (размеры: печатная поверхность 155x234 мм, размеры пакета 370x400 мм, длина ручек 60 см) печать 1+0, серый, шелкография (шолка: ситовая печать) для каждой стороны. Тип ткани: тифлон должен быть хлопчатобумажным, мягким на ощупь, качественным и тяжелым, не прозрачным и очень эластичным. На внутренней стороне сумки должен быть карман размером 20*20 см с открывающей и закрывающей его цепочкой, внутренние и внешние стежки должны быть сшиты таким образом, чтобы не было видно лишних нитей, внутри должны быть выполнены прозрачные (оверлок), закрытые стежки из нитки, соответствующей цвету ткани, чтобы стежки были незаметны невооруженным глазом, и очень мелким каракулем. Качество, тип, форма, длина шнурков, ширина и длина сумки, швы, цвет пакетов согласовываются с заказчиком. Выполнить печать в соответствии с чертежом, предоставленным заказчиком. Исполнитель должен предоставить заказчику образец, который должен быть одобрен ЕГУ. После утверждения ЕГУ и при наличии требуемого качества только основная печать будет упакована в картонную коробку. Доставка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кепка с надписью, размер стандартный, сырье: основная ткань (джинсы, 100% хлопок, 150-170 гр.), 100% хлопок, 150-170 гр. дополнительное сырье: Батист, цвет серый, с жестким козырьком, с возможностью изменения размера, 6 панелей, 4-6 штук с вышитым краем с вентиляционными отверстиями, вентилятор сэндвич-типа.
Логотип факультета истории, вышитый или напечатанный на 3D-принтере, размером 8x6 см по центру передней части шляпы. Качество, тип, форма шляпы, согласовать с заказчиком. Исполнитель должен предоставить заказчику образец, который должен быть одобрен ЕГУ. После утверждения ЕГУ и при наличии требуемого качества только основная печать будет упакована в картонную коробку. Организация-победитель обязуется предоставить заказчику окончательную распечатку в течение 1 недели после подписания контракта. доставка поставщиком.
Доставка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серого цвета с логотипом и надписью ЕГУ и мероприятия, состав не менее 90% хлопка. На обороте обложки латинскими заглавными буквами синего цвета (высота букв: 4 см) написано факультет истории: 
Допустимое отклонение всех параметров: + / - 5%. Качество, тип, форма шляпы, согласовать с заказчиком. Исполнитель должен предоставить заказчику образец, который должен быть одобрен ЕГУ. После утверждения ЕГУ и при наличии требуемого качества только основная печать будет упакована в картонную коробку. Организация-победитель обязуется предоставить заказчику окончательную распечатку в течение 1 недели после подписания контракта. доставка поставщиком. Доставка поставщиком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Июль-август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Июль-август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Июль-август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Июль-август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Июль-август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Июль-август 
                    </w:t>
              </w:r>
            </w:p>
          </w:tc>
        </w:tr>
      </w:tbl>
    </w:p>
    <w:p w:rsidR="00421AA1" w:rsidRPr="00B53A7A" w:rsidRDefault="00DD2698" w:rsidP="00421AA1">
      <w:pPr>
        <w:pStyle w:val="NormalWeb"/>
        <w:rPr>
          <w:rFonts w:asciiTheme="minorHAnsi" w:hAnsiTheme="minorHAnsi" w:cstheme="minorHAnsi"/>
          <w:sz w:val="16"/>
          <w:szCs w:val="16"/>
        </w:rPr>
      </w:pPr>
      <w:r w:rsidRPr="00B53A7A">
        <w:rPr>
          <w:rFonts w:asciiTheme="minorHAnsi" w:hAnsiTheme="minorHAnsi" w:cstheme="minorHAnsi"/>
          <w:sz w:val="16"/>
          <w:szCs w:val="16"/>
        </w:rPr>
        <w:t>*</w:t>
      </w:r>
      <w:r w:rsidR="001C1C48" w:rsidRPr="00B53A7A">
        <w:rPr>
          <w:rFonts w:asciiTheme="minorHAnsi" w:hAnsiTheme="minorHAnsi" w:cstheme="minorHAnsi"/>
          <w:sz w:val="16"/>
          <w:szCs w:val="16"/>
        </w:rPr>
        <w:t xml:space="preserve"> </w:t>
      </w:r>
      <w:r w:rsidR="00421AA1" w:rsidRPr="00B53A7A">
        <w:rPr>
          <w:rFonts w:asciiTheme="minorHAnsi" w:hAnsiTheme="minorHAnsi" w:cstheme="minorHAnsi"/>
          <w:i/>
          <w:iCs/>
          <w:sz w:val="16"/>
          <w:szCs w:val="16"/>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421AA1" w:rsidRDefault="00421AA1" w:rsidP="00421AA1">
      <w:pPr>
        <w:pStyle w:val="NormalWeb"/>
      </w:pPr>
      <w:r w:rsidRPr="00B53A7A">
        <w:rPr>
          <w:rFonts w:asciiTheme="minorHAnsi" w:hAnsiTheme="minorHAnsi" w:cstheme="minorHAnsi"/>
          <w:i/>
          <w:iCs/>
          <w:sz w:val="16"/>
          <w:szCs w:val="16"/>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w:t>
      </w:r>
      <w:bookmarkStart w:id="0" w:name="_GoBack"/>
      <w:bookmarkEnd w:id="0"/>
      <w:r w:rsidRPr="00B53A7A">
        <w:rPr>
          <w:rFonts w:asciiTheme="minorHAnsi" w:hAnsiTheme="minorHAnsi" w:cstheme="minorHAnsi"/>
          <w:i/>
          <w:iCs/>
          <w:sz w:val="16"/>
          <w:szCs w:val="16"/>
        </w:rPr>
        <w:t xml:space="preserve">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Тканевая сумка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шляпа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FB4631"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370E" w:rsidRDefault="003C370E" w:rsidP="00C97A7D">
      <w:pPr>
        <w:spacing w:line="240" w:lineRule="auto"/>
      </w:pPr>
      <w:r>
        <w:separator/>
      </w:r>
    </w:p>
  </w:endnote>
  <w:endnote w:type="continuationSeparator" w:id="0">
    <w:p w:rsidR="003C370E" w:rsidRDefault="003C370E"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3C370E" w:rsidP="000F3C2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370E" w:rsidRDefault="003C370E" w:rsidP="00C97A7D">
      <w:pPr>
        <w:spacing w:line="240" w:lineRule="auto"/>
      </w:pPr>
      <w:r>
        <w:separator/>
      </w:r>
    </w:p>
  </w:footnote>
  <w:footnote w:type="continuationSeparator" w:id="0">
    <w:p w:rsidR="003C370E" w:rsidRDefault="003C370E"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A83008" w:rsidRPr="00A83008">
        <w:rPr>
          <w:rFonts w:ascii="Calibri" w:hAnsi="Calibri"/>
          <w:i/>
          <w:sz w:val="16"/>
          <w:szCs w:val="16"/>
          <w:lang w:val="ru-RU" w:bidi="ru-RU"/>
        </w:rPr>
        <w:t>результата, если выполнение контракта (соглашения) не является поэтапным</w:t>
      </w:r>
      <w:r w:rsidRPr="00775D10">
        <w:rPr>
          <w:rFonts w:ascii="Calibri" w:hAnsi="Calibri"/>
          <w:i/>
          <w:sz w:val="16"/>
          <w:szCs w:val="16"/>
          <w:lang w:val="ru-RU"/>
        </w:rPr>
        <w:t xml:space="preserve">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B53A7A" w:rsidRPr="00B53A7A" w:rsidRDefault="002144E7" w:rsidP="00B53A7A">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B53A7A" w:rsidRPr="00B53A7A">
        <w:rPr>
          <w:rFonts w:asciiTheme="minorHAnsi" w:hAnsiTheme="minorHAnsi" w:cstheme="minorHAnsi"/>
          <w:i/>
          <w:sz w:val="16"/>
          <w:szCs w:val="16"/>
          <w:lang w:val="ru-RU"/>
        </w:rPr>
        <w:t xml:space="preserve">"О закупках". </w:t>
      </w:r>
    </w:p>
    <w:p w:rsidR="00410048" w:rsidRPr="00E96B7E" w:rsidRDefault="00B53A7A" w:rsidP="00B53A7A">
      <w:pPr>
        <w:pStyle w:val="FootnoteText"/>
        <w:widowControl w:val="0"/>
        <w:jc w:val="both"/>
        <w:rPr>
          <w:rFonts w:ascii="Calibri" w:hAnsi="Calibri"/>
          <w:sz w:val="18"/>
          <w:szCs w:val="18"/>
          <w:lang w:val="hy-AM" w:eastAsia="en-US"/>
        </w:rPr>
      </w:pPr>
      <w:r w:rsidRPr="00B53A7A">
        <w:rPr>
          <w:rFonts w:asciiTheme="minorHAnsi" w:hAnsiTheme="minorHAnsi" w:cstheme="minorHAnsi"/>
          <w:sz w:val="16"/>
          <w:szCs w:val="16"/>
          <w:lang w:val="ru-RU"/>
        </w:rPr>
        <w:t>Срок, установленный</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в предложении</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5</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настоящего</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пункта</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может быть менее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10</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рабочих</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дней.</w:t>
      </w:r>
      <w:r w:rsidR="002144E7" w:rsidRPr="002144E7">
        <w:rPr>
          <w:rFonts w:asciiTheme="minorHAnsi" w:hAnsiTheme="minorHAnsi" w:cstheme="minorHAnsi"/>
          <w:sz w:val="16"/>
          <w:szCs w:val="16"/>
          <w:lang w:val="ru-RU"/>
        </w:rPr>
        <w:t>.</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3C370E" w:rsidP="000F3C2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C370E"/>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7EBE"/>
    <w:rsid w:val="008F088B"/>
    <w:rsid w:val="008F345E"/>
    <w:rsid w:val="008F3D56"/>
    <w:rsid w:val="00901766"/>
    <w:rsid w:val="009104B9"/>
    <w:rsid w:val="00932321"/>
    <w:rsid w:val="00945A3A"/>
    <w:rsid w:val="0094766F"/>
    <w:rsid w:val="00952DB5"/>
    <w:rsid w:val="00960AC9"/>
    <w:rsid w:val="00961848"/>
    <w:rsid w:val="00961F1A"/>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3008"/>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5546"/>
    <w:rsid w:val="00AE755A"/>
    <w:rsid w:val="00AF2F65"/>
    <w:rsid w:val="00B0466F"/>
    <w:rsid w:val="00B04C29"/>
    <w:rsid w:val="00B05C41"/>
    <w:rsid w:val="00B103D5"/>
    <w:rsid w:val="00B1249F"/>
    <w:rsid w:val="00B23BCC"/>
    <w:rsid w:val="00B2505E"/>
    <w:rsid w:val="00B32699"/>
    <w:rsid w:val="00B353EC"/>
    <w:rsid w:val="00B36B04"/>
    <w:rsid w:val="00B3722B"/>
    <w:rsid w:val="00B37B19"/>
    <w:rsid w:val="00B52BEC"/>
    <w:rsid w:val="00B53A7A"/>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4631"/>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E900B"/>
  <w15:docId w15:val="{336E731E-5DCA-435C-9667-29870E935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D29D44-BF87-4DBE-9805-9B93B2A88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62</Pages>
  <Words>15891</Words>
  <Characters>90579</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317</cp:revision>
  <dcterms:created xsi:type="dcterms:W3CDTF">2020-06-23T11:07:00Z</dcterms:created>
  <dcterms:modified xsi:type="dcterms:W3CDTF">2025-03-18T08:15:00Z</dcterms:modified>
</cp:coreProperties>
</file>