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լեդ լուսարձակների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լեդ լուսարձակների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լեդ լուսարձակների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լեդ լուսարձակների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ոչ պակաս 60 վատ Լուսային հոսք /Lm/- ոչ պակաս 8400 լյումեն Հզորության գործակից/Pf/ »0.98 Գունահաղորդման ինդեքս/Ra/ - »80 Գունային ջերմաստիճան/ K/ - 4000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Իրանը – ձուլված ալյումին Աշխատանքային ժամ – 50 000 Չափսերը սմ/- 40*12*5 - 48*16*8 Քաշ: /kg/ - 1-1,5 կգ Լուսատուն պետք է բաղկացած լինի առանձին մատրիցայից և առանձին դրայվերից Դրայվերի պարամետրեր 60 վատ, չափս-ոչ պակաս-110/35/25մմ INPUT-85-265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3 Հետերաշխիքային սպասարկում/տարի/ - 2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 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