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ԱՍՀՆ-ՊՈԱԿ-ԷԱՃԱՊՁԲ-25/2-7-Վ</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նախարարության ենթակայության «Վարդենիսի շուրջօրյա մասնագիտացված խնամքի կենտրոն» ՊՈԱկ-ի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Գալտագազյան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mariam.galtagazyan@mlsa.am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ԱՍՀՆ-ՊՈԱԿ-ԷԱՃԱՊՁԲ-25/2-7-Վ</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աշխատանքի և սոցիալական հարցերի նախարարության ենթակայության «Վարդենիսի շուրջօրյա մասնագիտացված խնամքի կենտրոն» ՊՈԱկ-ի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աշխատանքի և սոցիալական հարցերի նախարարության ենթակայության «Վարդենիսի շուրջօրյա մասնագիտացված խնամքի կենտրոն» ՊՈԱկ-ի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ԱՍՀՆ-ՊՈԱԿ-ԷԱՃԱՊՁԲ-25/2-7-Վ</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mariam.galtagazyan@mlsa.am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աշխատանքի և սոցիալական հարցերի նախարարության ենթակայության «Վարդենիսի շուրջօրյա մասնագիտացված խնամքի կենտրոն» ՊՈԱկ-ի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բարձր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434.89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2025.06.13.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ԱՍՀՆ-ՊՈԱԿ-ԷԱՃԱՊՁԲ-25/2-7-Վ</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ԱՍՀՆ-ՊՈԱԿ-ԷԱՃԱՊՁԲ-25/2-7-Վ</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«ԱՍՀՆ-ՊՈԱԿ-ԷԱՃԱՊՁԲ-25/2-7-Վ»*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ԱՍՀՆ-ՊՈԱԿ-ԷԱՃԱՊՁԲ-25/2-7-Վ*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«ԱՍՀՆ-ՊՈԱԿ-ԷԱՃԱՊՁԲ-25/2-7-Վ»*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ԱՍՀՆ-ՊՈԱԿ-ԷԱՃԱՊՁԲ-25/2-7-Վ*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31-ը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ՀՀ կառավարության 2017 թվականի մայիսի 4-ի թիվ 526-Ն որոշմամբ հաստատված Գնումների գործընթացի կազմակերպման կարգի 104 րդ կետի պահանջներին համապատասխան Պայմանագրով սահմանված Գնորդի իրավունքների և պարտականությունների իրականացումը վերապահվում է՝ «Վարդենիսի շուրջօրյա մասնագիտացված խնամքի կենտրոն» ՊՈԱԿ ին: Վաճառողի կողմից անհրաժեշտ կատարողական փաստաթղթերի դուրս գրման դեպքում հիմք են ընդունվում հետևյալ վավերապայմանները՝ Գեղարքունիքի մարզ, Վարդենիս Զորավար Անդրանիկի 4-րդ փողոցի 1-ին նրբ., ՀՎՀՀ` 08800705, ՀՀ ՖՆ գործառնական վարչություն, Հ/Հ` 900158000027»: Ներկայացված են առավելագույն քանակները, դրանք ենթակա են փոփոխման (նվազեցման) շահառուների թվաքանակի փոփոխությամբ պայմանավորված: Ծանոթություն  -   Մատակարարումը պետք է կատարվի Պատվիրատուի  /«Վարդենիսի շուրջօրյա մասնագիտացված խնամքի կենտրոն» ՊՈԱԿ-ի / պահանջով, պայմանագիրը և համաձայնագիրը կնքվելուց հետո մինչև դեկտեմբերի 31-ը ներառյալ:</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բարձր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