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12:20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ՎԱՔՏ-ԷԱՃԱՊՁԲ-25/17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ՎԱՔՏ-ԷԱՃԱՊՁԲ-25/17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Պայմանագիրն ուժի մեջ մտնելուց հետո պայմանագրով սահմանված Գնորդի իրավունքներն ու պարտավորությունները փոխանցվում են Քաղաքաշինության, տեխնիկական և հրդեհային անվտանգության տեսչական մարմնին՝ բացառությամբ ֆինանսական գործառույթների:</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 ըստ գործող օրենսդրության: Պայմանական նշանները՝ վախենում է կրակից: Տեղափոխման անվտանգությունը ՝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50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