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электронный аукцион, объявляемый на закупку колесного трактора с кодом «ԿՄՀՔ-ԷԱՃԱՊՁԲ-25/23» для нужд муниципалитета Раздан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ԿՄՀՔ-ԷԱՃԱՊՁԲ-25/23</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электронный аукцион, объявляемый на закупку колесного трактора с кодом «ԿՄՀՔ-ԷԱՃԱՊՁԲ-25/23» для нужд муниципалитета Раздан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электронный аукцион, объявляемый на закупку колесного трактора с кодом «ԿՄՀՔ-ԷԱՃԱՊՁԲ-25/23» для нужд муниципалитета Раздан в 2025 году</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электронный аукцион, объявляемый на закупку колесного трактора с кодом «ԿՄՀՔ-ԷԱՃԱՊՁԲ-25/23» для нужд муниципалитета Раздан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трактор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не ранее 2024 г.
Эксплуатационная масса: не менее 4250 кг
Мощность двигателя: не менее 90 л.с.
Количество цилиндров: не менее 4
Объём двигателя: не менее 4,75 л
Номинальная частота вращения: не более 1800 об/мин
Коробка передач: механическая
Количество передач: 18/4
Колёсная формула: 4x4
Вал отбора мощности (ВОМ): не менее 540/1000 об/мин
Агротехнический просвет: не менее 510 мм
Минимальный радиус поворота: не менее 4,5 м
Грузоподъёмность задней навески: не менее 3200 кг
Топливный бак: не менее 130 л
Габаритные размеры:
Длина: не более 4030 мм
Ширина по задним колёсам (макс.): не более 1970 мм
Высота по кабине: не более 2850 мм
Наличие кондиционера
Навесное оборудование:
Передний снегоочиститель, гидравлически поворачиваемый
Ширина отвала: не менее 2500 мм
Высота лемеха (ножа): не менее 700 мм
Масса лемеха (ножа): не более 270 кг
Ширина очищаемой полосы при угле установки не менее 30°: не менее 2200 мм
Тип управления: гидравлический
Дорожная щётка с системой орошения
Ширина щётки: не менее 2300 мм
Ширина рабочей части щётки: не менее 2000 мм
Ширина очищаемой полосы при угле установки не менее 30°: не менее 1800 мм
Максимальная высота свежего снежного покрова, убираемого за один проход: не менее 500 мм
Диаметр рабочего элемента щётки: не менее 550 мм
Водяной бак: не менее 300 л
Масса щётки: не более 330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Колесный 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