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комплекты постельного белья и полотенец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ԵՔ-ԷԱՃԱՊՁԲ-25/200</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комплекты постельного белья и полотенец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комплекты постельного белья и полотенец</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комплекты постельного белья и полотенец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набор полотенец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осуществляются аппаратом главы административного района Ачапняк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из цветной хлопчатобумажной плотной ткани, противоаллергенный, безопасный для беременных и детей, плотность ткани не менее 130 г/м2, Состав: 100% хлопок, на упаковке указана маркировка. Комплект состоит из пододеяльника, простыни и наволочки.
Пододеяльник хлопковый, узорчатый, темного цвета, длина 1 шт.: 2,10 м, ширина: 1,5 м, длина проема: 0,8 м, застегивается на молнию.
Цельная хлопковая простыня, узорчатая, темного цвета, длина: 2,20 м, ширина: 1,40 м.
Две наволочки из хлопка, узорчатые, темного цвета, длина одной наволочки: 0,7м, ширина: 0,5м, длина другой: 0,7м, ширина: 0,7м. Упаковка: в герметичной прозрачной полиэтиленовой упаковке, в 1 упаковке содержится 1 комплект /1 пододеяльник: 2,10мх1,50м, 1 простыня 2,20мх1,40м, 1 наволочка 0,7мх0,5м, 1 наволочка 0,7мх0,7м/. На этикетке упаковки комплекта постельного белья должны быть указаны условия эксплуатации и хранения. Упаковка: в полиэтиленовых пакетах заводской печати, внутри полиэтиленового пакета находится бумажная иллюстрированная этикетка размером не менее 30х20 мм, на которой указана информация о комплекте. Упаковки должны быть маркированы, на этикетках должны быть указаны наименование ассортимента, размер и количество комплекта по отдельности, а также наименование предприятия-изготовителя. Конкретная дата поставки определяется Покупателем поэтапно, путем предварительного (не ранее, чем за три рабочих дня) заказа по электронной почте или по телефону.
Транспортировка и хранение по указанному заказчиком адресу и территории осуществляются поставщик.Вся продукция должна быть новой, неиспользованной и в заводской упаковке. 
Цвет комплекта постельного белья согласовать с сотрудниками отдела по делам детей и социальной защиты Главы административного района Ачапняк.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набор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полотенец /банное полотенце и полотенце для лица/
Размер банного полотенца 70х140 см, плотность полотенца не менее 600 г/м2, быстросохнущее, пряжа из 100% органического хлопка, как указано на упаковке, впитывающее влагу, мягкое и комфортное. Двусторонний, высота слоя полотенца минимум 7 мм. Вся полезная поверхность полотенца должна быть покрыта двухрядным слоем, без декоративной вышивки. Ширина манжеты полотенца должна быть не более 1 см. Стойкие, в основном экологически чистые красители темных тонов.Должна быть ленточная вешалка, сшитая на заводе.Ширина ленты для вешалки не менее 1,5 см, диаметр кольца для вешалки не менее 5 см.Условия эксплуатации и хранения должны быть указаны на этикетке полотенца.
Упаковка: в полиэтиленовых пакетах с заводским рисунком или на полиэтиленовой упаковке должна быть бумажная этикетка с рисунком, на которой указана информация, относящаяся к полотенцу.
Размер полотенца для лица 50х90 см, плотность полотенца: минимум 600 г/м2, быстросохнущее, изготовлено из 100% органической хлопковой пряжи, о чем должна быть указана на упаковке, с влаговпитывающими свойствами, мягкое и комфортное. 
Двусторонний, высота слоя полотенца минимум 7 мм. Вся полезная поверхность полотенца должна быть покрыта двухрядным слоем, без декоративной вышивки. Ширина манжеты края полотенца должна быть не более 1 см. Цветостойкость, в основном темные цвета с использованием экологически чистых красителей.
Обязательно наличие фабрично сшитой вешалки для ленты. Ширина ленты вешалки — не менее 1,5 см, диаметр кольца вешалки — не менее 5 см.
На этикетке полотенца должны быть указаны условия использования и хранения.
Упаковка: в полиэтиленовых пакетах с заводской печатью, либо на полиэтиленовой упаковке должна быть напечатана бумажная этикетка с информацией о полотенце. 
В каждый комплект входит 1 банное полотенце и 1 полотенце для лица. Конкретная дата поставки определяется Покупателем поэтапно. Оформив предварительный заказ (не ранее, чем за три рабочих дня) по электронной почте или по телефону. Транспортировка  и хранение осуществляются поставщик по адресу и месту, указанным покупателем.
 Все товары должны быть новыми, неиспользованными, в заводской упаковке. 
Цвет полотенец согласовать с сотрудниками отдела по делам детей и социальной защиты персонала главы административного района Ачапняк: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/осуществить поставку в необходимых количествах в течение периода, указанного последним на основании запроса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20.12.2025 г. /осуществить поставку в необходимых количествах в течение периода, указанного последним на основании запроса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набор полотенец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