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ԿԾԿԾԻԳ-ԷԱՃԱՊՁԲ-25/4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աշխատանքային աթոռի ձեռքբերման նպատակով ԿԾԿԾԻԳ-ԷԱՃԱՊՁԲ-25/4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ԿԾԿԾԻԳ-ԷԱՃԱՊՁԲ-25/4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աշխատանքային աթոռի ձեռքբերման նպատակով ԿԾԿԾԻԳ-ԷԱՃԱՊՁԲ-25/4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աշխատանքային աթոռի ձեռքբերման նպատակով ԿԾԿԾԻԳ-ԷԱՃԱՊՁԲ-25/4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ԿԾԿԾԻԳ-ԷԱՃԱՊՁԲ-25/4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աշխատանքային աթոռի ձեռքբերման նպատակով ԿԾԿԾԻԳ-ԷԱՃԱՊՁԲ-25/4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20529600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ԿԾԿԾԻԳ-ԷԱՃԱՊՁԲ-25/4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ԿԾԿԾԻԳ-ԷԱՃԱՊՁԲ-25/4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«ԿԾԿԾԻԳ-ԷԱՃԱՊՁԲ-25/4»*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ԿԳՄՍՆ «ԿՐԹԱԿԱՆ ԾՐԱԳՐԵՐԻ ԿԵՆՏՐՈՆ» ԾԻԳ ՊՀ-Ի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Աշխատանքային աթոռի մետաղական կմախքը պետք է պատրաստված լինի մետաղական սնամեջ օվալաձև 30X15X2,0մմ խողովակներից։Աթոռի մետաղական կմախքի զոդման կարանները պետք է լինեն մշակված, ողորկ և փոշեներկված բարձրակարգ սև գույնի ներկանյութով։    
Աթոռի չափսերը
Գետնից մինչև նստատեղ՝ 49սմ,
Գետնից մինչև թիկնակի վերին մասը՝ 83սմ,
Նստատեղի և թիկնակի լայնությունը՝ 49սմ,
Նստատեղի խորությունը մինչև թիկնակ՝ 42սմ,
Թիկնակի բարձրությունը՝ 30սմ, 
Թիկնակի և նստատեղի հետևի մասերը պլաստմասե պատյաններով են՝ լցված 25մմ հաստություն և 25կգ/մ3 խտություն ունեցող կահույքի պորոլինով՝ երեսպատված որակյալ, ամուր և դժվարամաշ սև գույնի կտորով։ 
Մետաղական կարկասի ոտքերին պետք է ամրացվեն 2մմ պատերի և 4մմ գետնին հենվող մասի հաստություն ունեցող պոլիէթիլենից պատրաստված պլաստմասե խցաններ։
Բոլոր միացումները պետք է լինեն պտուտակներով: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ստորև,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մինչև 2025թ-ի սեպտեմբերի 15-ը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