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179CC" w14:textId="311A290F" w:rsidR="00C970E9" w:rsidRPr="00F26450" w:rsidRDefault="00AB1205" w:rsidP="00FB2381">
      <w:pPr>
        <w:jc w:val="center"/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</w:pPr>
      <w:r w:rsidRPr="00F26450"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  <w:t xml:space="preserve">Для участия в процедуре закупки с кодом </w:t>
      </w:r>
      <w:r w:rsidR="005551FC" w:rsidRPr="00F26450">
        <w:rPr>
          <w:rFonts w:ascii="GHEA Grapalat" w:hAnsi="GHEA Grapalat"/>
          <w:b/>
          <w:bCs/>
          <w:color w:val="000000" w:themeColor="text1"/>
          <w:sz w:val="24"/>
          <w:szCs w:val="24"/>
        </w:rPr>
        <w:t>ԿԾԿԾԻԳ</w:t>
      </w:r>
      <w:r w:rsidR="005551FC" w:rsidRPr="00F26450"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  <w:t>-</w:t>
      </w:r>
      <w:r w:rsidR="005551FC" w:rsidRPr="00F26450">
        <w:rPr>
          <w:rFonts w:ascii="GHEA Grapalat" w:hAnsi="GHEA Grapalat"/>
          <w:b/>
          <w:bCs/>
          <w:color w:val="000000" w:themeColor="text1"/>
          <w:sz w:val="24"/>
          <w:szCs w:val="24"/>
        </w:rPr>
        <w:t>ԷԱՃԱՊՁԲ</w:t>
      </w:r>
      <w:r w:rsidR="005551FC" w:rsidRPr="00F26450"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  <w:t xml:space="preserve">-25/4 </w:t>
      </w:r>
      <w:r w:rsidRPr="00F26450">
        <w:rPr>
          <w:rFonts w:ascii="GHEA Grapalat" w:hAnsi="GHEA Grapalat"/>
          <w:b/>
          <w:bCs/>
          <w:color w:val="000000" w:themeColor="text1"/>
          <w:sz w:val="24"/>
          <w:szCs w:val="24"/>
          <w:lang w:val="ru-RU"/>
        </w:rPr>
        <w:t>установлены следующие требования:</w:t>
      </w:r>
    </w:p>
    <w:tbl>
      <w:tblPr>
        <w:tblW w:w="10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98"/>
        <w:gridCol w:w="6478"/>
      </w:tblGrid>
      <w:tr w:rsidR="00F26450" w:rsidRPr="00F26450" w14:paraId="3E9E748E" w14:textId="77777777" w:rsidTr="00AD0A20">
        <w:trPr>
          <w:trHeight w:val="769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B09AA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F26450">
              <w:rPr>
                <w:rFonts w:ascii="GHEA Grapalat" w:hAnsi="GHEA Grapalat"/>
                <w:b/>
                <w:color w:val="000000" w:themeColor="text1"/>
                <w:lang w:val="ru-RU"/>
              </w:rPr>
              <w:t>Необходимость представления производителем либо его представителем гарантийного письма или сертификата соответствия на этапе выполнения договора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7514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hy-AM"/>
              </w:rPr>
            </w:pPr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>Представляется, если такое требование предусмотрено в технической характеристике закупки, определенном в заявке.</w:t>
            </w:r>
          </w:p>
        </w:tc>
      </w:tr>
      <w:tr w:rsidR="00F26450" w:rsidRPr="00F26450" w14:paraId="5A25ADB4" w14:textId="77777777" w:rsidTr="00AD0A20">
        <w:trPr>
          <w:trHeight w:val="84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A41D4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F26450">
              <w:rPr>
                <w:rFonts w:ascii="GHEA Grapalat" w:hAnsi="GHEA Grapalat"/>
                <w:b/>
                <w:color w:val="000000" w:themeColor="text1"/>
                <w:lang w:val="ru-RU"/>
              </w:rPr>
              <w:t>Место поставки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C3E7A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>Внесен в список согласно Приложению 2 технической спецификации-графика закупок</w:t>
            </w:r>
          </w:p>
        </w:tc>
      </w:tr>
      <w:tr w:rsidR="00F26450" w:rsidRPr="00F26450" w14:paraId="7E23BB7A" w14:textId="77777777" w:rsidTr="00AD0A20">
        <w:trPr>
          <w:trHeight w:val="84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5B4FE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ru-RU"/>
              </w:rPr>
            </w:pPr>
            <w:r w:rsidRPr="00F26450">
              <w:rPr>
                <w:rFonts w:ascii="GHEA Grapalat" w:hAnsi="GHEA Grapalat"/>
                <w:b/>
                <w:color w:val="000000" w:themeColor="text1"/>
                <w:lang w:val="ru-RU"/>
              </w:rPr>
              <w:t>Дни допустимого нарушения срока доставки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D75FA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F26450">
              <w:rPr>
                <w:rFonts w:ascii="GHEA Grapalat" w:hAnsi="GHEA Grapalat"/>
                <w:color w:val="000000" w:themeColor="text1"/>
              </w:rPr>
              <w:t>У</w:t>
            </w:r>
            <w:proofErr w:type="spellStart"/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>становл</w:t>
            </w:r>
            <w:r w:rsidRPr="00F26450">
              <w:rPr>
                <w:rFonts w:ascii="GHEA Grapalat" w:hAnsi="GHEA Grapalat"/>
                <w:color w:val="000000" w:themeColor="text1"/>
              </w:rPr>
              <w:t>ивается</w:t>
            </w:r>
            <w:proofErr w:type="spellEnd"/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 xml:space="preserve"> 10 календарных дней</w:t>
            </w:r>
          </w:p>
        </w:tc>
      </w:tr>
      <w:tr w:rsidR="00F26450" w:rsidRPr="00F26450" w14:paraId="32C05FA0" w14:textId="77777777" w:rsidTr="00AD0A20">
        <w:trPr>
          <w:trHeight w:val="84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3859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F26450">
              <w:rPr>
                <w:rFonts w:ascii="GHEA Grapalat" w:hAnsi="GHEA Grapalat"/>
                <w:b/>
                <w:color w:val="000000" w:themeColor="text1"/>
                <w:lang w:val="ru-RU"/>
              </w:rPr>
              <w:t>Условие предоплаты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A8015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hy-AM"/>
              </w:rPr>
            </w:pPr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>До 30% от стоимости контракта</w:t>
            </w:r>
          </w:p>
        </w:tc>
      </w:tr>
      <w:tr w:rsidR="00F26450" w:rsidRPr="00F26450" w14:paraId="6DBC52C4" w14:textId="77777777" w:rsidTr="00AD0A20">
        <w:trPr>
          <w:trHeight w:val="57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473B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F26450">
              <w:rPr>
                <w:rFonts w:ascii="GHEA Grapalat" w:hAnsi="GHEA Grapalat"/>
                <w:b/>
                <w:color w:val="000000" w:themeColor="text1"/>
                <w:lang w:val="ru-RU"/>
              </w:rPr>
              <w:t>Гарантийный срок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66E90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hy-AM"/>
              </w:rPr>
            </w:pPr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>Определено 365 календарных дней</w:t>
            </w:r>
          </w:p>
        </w:tc>
      </w:tr>
      <w:tr w:rsidR="00F26450" w:rsidRPr="00F26450" w14:paraId="0C1BB924" w14:textId="77777777" w:rsidTr="00AD0A20">
        <w:trPr>
          <w:trHeight w:val="84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1BD7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color w:val="000000" w:themeColor="text1"/>
                <w:lang w:val="ru-RU"/>
              </w:rPr>
            </w:pPr>
            <w:r w:rsidRPr="00F26450">
              <w:rPr>
                <w:rFonts w:ascii="GHEA Grapalat" w:hAnsi="GHEA Grapalat" w:cs="Sylfaen"/>
                <w:b/>
                <w:bCs/>
                <w:color w:val="000000" w:themeColor="text1"/>
                <w:lang w:val="ru-RU"/>
              </w:rPr>
              <w:t xml:space="preserve">Срок предоставления участнику подписанного акта о сдаче-приёмке  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90403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/>
                <w:color w:val="000000" w:themeColor="text1"/>
                <w:lang w:val="ru-RU"/>
              </w:rPr>
            </w:pPr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>В течение 10 рабочих дней</w:t>
            </w:r>
          </w:p>
        </w:tc>
      </w:tr>
      <w:tr w:rsidR="00F26450" w:rsidRPr="00F26450" w14:paraId="610514A0" w14:textId="77777777" w:rsidTr="00AD0A20">
        <w:trPr>
          <w:trHeight w:val="84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A4996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color w:val="000000" w:themeColor="text1"/>
                <w:lang w:val="ru-RU"/>
              </w:rPr>
            </w:pPr>
            <w:proofErr w:type="spellStart"/>
            <w:r w:rsidRPr="00F26450">
              <w:rPr>
                <w:rFonts w:ascii="GHEA Grapalat" w:hAnsi="GHEA Grapalat"/>
                <w:b/>
                <w:color w:val="000000" w:themeColor="text1"/>
              </w:rPr>
              <w:t>Условия</w:t>
            </w:r>
            <w:proofErr w:type="spellEnd"/>
            <w:r w:rsidRPr="00F26450">
              <w:rPr>
                <w:rFonts w:ascii="GHEA Grapalat" w:hAnsi="GHEA Grapalat"/>
                <w:b/>
                <w:color w:val="000000" w:themeColor="text1"/>
              </w:rPr>
              <w:t xml:space="preserve"> </w:t>
            </w:r>
            <w:proofErr w:type="spellStart"/>
            <w:r w:rsidRPr="00F26450">
              <w:rPr>
                <w:rFonts w:ascii="GHEA Grapalat" w:hAnsi="GHEA Grapalat"/>
                <w:b/>
                <w:color w:val="000000" w:themeColor="text1"/>
              </w:rPr>
              <w:t>поставки</w:t>
            </w:r>
            <w:proofErr w:type="spellEnd"/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5B91D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 xml:space="preserve">Поставщик обязан представить образцы продукции </w:t>
            </w:r>
            <w:proofErr w:type="spellStart"/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>покупателью</w:t>
            </w:r>
            <w:proofErr w:type="spellEnd"/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 xml:space="preserve"> и после получения согласия от последнего перевезти их </w:t>
            </w:r>
            <w:r w:rsidRPr="00F26450">
              <w:rPr>
                <w:rFonts w:ascii="GHEA Grapalat" w:hAnsi="GHEA Grapalat"/>
                <w:color w:val="000000" w:themeColor="text1"/>
                <w:lang w:val="hy-AM"/>
              </w:rPr>
              <w:t xml:space="preserve"> </w:t>
            </w:r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 xml:space="preserve"> по адресам, указанным в перечне школ (согласно приложению 2).</w:t>
            </w:r>
          </w:p>
          <w:p w14:paraId="169B5B2A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jc w:val="both"/>
              <w:rPr>
                <w:rFonts w:ascii="GHEA Grapalat" w:hAnsi="GHEA Grapalat"/>
                <w:color w:val="000000" w:themeColor="text1"/>
                <w:lang w:val="ru-RU"/>
              </w:rPr>
            </w:pPr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>Срок поставки товаров – включительно 15.05.2025г.</w:t>
            </w:r>
          </w:p>
        </w:tc>
      </w:tr>
      <w:tr w:rsidR="005551FC" w:rsidRPr="00F26450" w14:paraId="5B3AB09D" w14:textId="77777777" w:rsidTr="00AD0A20">
        <w:trPr>
          <w:trHeight w:val="84"/>
          <w:jc w:val="center"/>
        </w:trPr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52B13" w14:textId="77777777" w:rsidR="005551FC" w:rsidRPr="00F26450" w:rsidRDefault="005551FC" w:rsidP="00AD0A20">
            <w:pPr>
              <w:tabs>
                <w:tab w:val="left" w:pos="3030"/>
              </w:tabs>
              <w:spacing w:after="0" w:line="240" w:lineRule="auto"/>
              <w:rPr>
                <w:rFonts w:ascii="GHEA Grapalat" w:hAnsi="GHEA Grapalat" w:cs="Sylfaen"/>
                <w:b/>
                <w:bCs/>
                <w:color w:val="000000" w:themeColor="text1"/>
                <w:lang w:val="ru-RU"/>
              </w:rPr>
            </w:pPr>
            <w:r w:rsidRPr="00F26450">
              <w:rPr>
                <w:rFonts w:ascii="GHEA Grapalat" w:hAnsi="GHEA Grapalat"/>
                <w:b/>
                <w:color w:val="000000" w:themeColor="text1"/>
                <w:lang w:val="ru-RU"/>
              </w:rPr>
              <w:t>Документы, необходимые от участника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22F6D" w14:textId="77777777" w:rsidR="005551FC" w:rsidRPr="00F26450" w:rsidRDefault="005551FC" w:rsidP="00AD0A20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В заявке участник представляет:</w:t>
            </w:r>
          </w:p>
          <w:p w14:paraId="7F6232EC" w14:textId="77777777" w:rsidR="005551FC" w:rsidRPr="00F26450" w:rsidRDefault="005551FC" w:rsidP="00AD0A20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1) утвержденное им заявление-объявление, предусмотренное пунктом 2.1 части 2 настоящего приглашения указав адрес электронной почты, учетный номер налогоплательщика, адрес деятельности и номер телефона , которое включает:</w:t>
            </w:r>
          </w:p>
          <w:p w14:paraId="75488F20" w14:textId="77777777" w:rsidR="005551FC" w:rsidRPr="00F26450" w:rsidRDefault="005551FC" w:rsidP="00AD0A20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а) подтверждение о соответствии своих данных и данных аффилированных с ним лиц требованиям права на участие, установленным приглашением;</w:t>
            </w:r>
          </w:p>
          <w:p w14:paraId="7BA7C784" w14:textId="77777777" w:rsidR="005551FC" w:rsidRPr="00F26450" w:rsidRDefault="005551FC" w:rsidP="00AD0A20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б) в случае признания отобранным участником – подтверждение об обязательстве предоставления обеспечения квалификации в порядке и сроки, установленные настоящим приглашением или о наличии рейтинга кредитоспособности, установленного приглашением;</w:t>
            </w:r>
          </w:p>
          <w:p w14:paraId="6E9E0DC2" w14:textId="77777777" w:rsidR="005551FC" w:rsidRPr="00F26450" w:rsidRDefault="005551FC" w:rsidP="00AD0A20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>в) объявление об отсутствии злоупотребления недобросовестной конкуренции,  доминирующим положением и антиконкурентного соглашения в рамках настоящей процедуры;</w:t>
            </w:r>
          </w:p>
          <w:p w14:paraId="4082C097" w14:textId="77777777" w:rsidR="005551FC" w:rsidRPr="00F26450" w:rsidRDefault="005551FC" w:rsidP="00AD0A20">
            <w:pPr>
              <w:pStyle w:val="BodyTextIndent2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sz w:val="22"/>
                <w:szCs w:val="22"/>
                <w:lang w:val="hy-AM"/>
              </w:rPr>
              <w:t xml:space="preserve">г) объявление об отсутствии в рамках настоящей процедуры одновременного участия взаимосвязянных с ним лиц и (или) учрежденных им организаций либо организаций, имеющих принадлежащую ему долю (пай)  в размере более пятидесяти процентов; </w:t>
            </w:r>
          </w:p>
          <w:p w14:paraId="73233718" w14:textId="77777777" w:rsidR="005551FC" w:rsidRPr="00F26450" w:rsidRDefault="005551FC" w:rsidP="00AD0A20">
            <w:pPr>
              <w:pStyle w:val="norm"/>
              <w:spacing w:line="240" w:lineRule="auto"/>
              <w:ind w:firstLine="437"/>
              <w:rPr>
                <w:rFonts w:ascii="Cambria Math" w:hAnsi="Cambria Math" w:cs="Sylfaen"/>
                <w:color w:val="000000" w:themeColor="text1"/>
                <w:szCs w:val="22"/>
                <w:lang w:val="hy-AM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t xml:space="preserve">д) декларацию о реальных бенефициарах согласно Приложению 1. Декларация не представляется, если участник </w:t>
            </w:r>
            <w:r w:rsidRPr="00F26450">
              <w:rPr>
                <w:rFonts w:ascii="GHEA Grapalat" w:hAnsi="GHEA Grapalat" w:cs="Sylfaen"/>
                <w:color w:val="000000" w:themeColor="text1"/>
                <w:szCs w:val="22"/>
                <w:lang w:val="hy-AM"/>
              </w:rPr>
              <w:lastRenderedPageBreak/>
              <w:t xml:space="preserve">является индивидуальным предпринимателем или физическим лицом При этом, если участник объявляется отобранным участником, то предусмотренная настоящим абзацем декларация, которая после вскрытия заявок автоматически публикуется в системе, одновременно публикуется в бюллетене вместе с объявлением о решении заключить договор;  </w:t>
            </w:r>
            <w:bookmarkStart w:id="0" w:name="_Hlk9261892"/>
            <w:r w:rsidRPr="00F26450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 xml:space="preserve"> </w:t>
            </w:r>
          </w:p>
          <w:p w14:paraId="2905968C" w14:textId="77777777" w:rsidR="005551FC" w:rsidRPr="00F26450" w:rsidRDefault="005551FC" w:rsidP="00AD0A20">
            <w:pPr>
              <w:spacing w:after="0" w:line="240" w:lineRule="auto"/>
              <w:ind w:firstLine="437"/>
              <w:jc w:val="both"/>
              <w:rPr>
                <w:rFonts w:ascii="GHEA Grapalat" w:hAnsi="GHEA Grapalat" w:cs="Sylfaen"/>
                <w:color w:val="000000" w:themeColor="text1"/>
                <w:lang w:val="hy-AM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lang w:val="hy-AM"/>
              </w:rPr>
              <w:t xml:space="preserve">2) </w:t>
            </w:r>
            <w:r w:rsidRPr="00F26450">
              <w:rPr>
                <w:rFonts w:ascii="GHEA Grapalat" w:hAnsi="GHEA Grapalat"/>
                <w:color w:val="000000" w:themeColor="text1"/>
                <w:lang w:val="ru-RU"/>
              </w:rPr>
              <w:t>технические характеристики предлагаемого им товара, а также товарный знак, торговая марка, модель и наименование производителя предлагаемого товара (далее – полное описание товара). При этом участник может представлять продукцию, произведенную более чем одним производителем, а также имеющую разные товарные знаки, фирменные наименования и модели, однако если в техническом задании заказчиком определены торговая марка, модель и производитель продукции, считающейся равноценной с точки зрения удовлетворения потребностей заказчика, участник обязан представить только продукцию, указанную в техническом задании, уточнение приглашения</w:t>
            </w:r>
            <w:r w:rsidRPr="00F26450">
              <w:rPr>
                <w:rFonts w:ascii="GHEA Grapalat" w:hAnsi="GHEA Grapalat" w:cs="Sylfaen"/>
                <w:color w:val="000000" w:themeColor="text1"/>
                <w:lang w:val="hy-AM"/>
              </w:rPr>
              <w:t>.</w:t>
            </w:r>
          </w:p>
          <w:bookmarkEnd w:id="0"/>
          <w:p w14:paraId="566D3207" w14:textId="77777777" w:rsidR="005551FC" w:rsidRPr="00F26450" w:rsidRDefault="005551FC" w:rsidP="00AD0A20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 xml:space="preserve">3) </w:t>
            </w:r>
            <w:r w:rsidRPr="00F26450">
              <w:rPr>
                <w:rFonts w:ascii="GHEA Grapalat" w:hAnsi="GHEA Grapalat"/>
                <w:color w:val="000000" w:themeColor="text1"/>
                <w:szCs w:val="22"/>
                <w:lang w:val="ru-RU"/>
              </w:rPr>
              <w:t>утвержденное им ценовое предложение</w:t>
            </w:r>
            <w:r w:rsidRPr="00F26450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>.</w:t>
            </w:r>
          </w:p>
          <w:p w14:paraId="36252716" w14:textId="77777777" w:rsidR="005551FC" w:rsidRPr="00F26450" w:rsidRDefault="005551FC" w:rsidP="00AD0A20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Cs w:val="22"/>
                <w:lang w:val="ru-RU" w:eastAsia="en-US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>4) прайс-лист с единичными ценами перечня предлагаемой продукции</w:t>
            </w:r>
            <w:r w:rsidRPr="00F26450">
              <w:rPr>
                <w:rFonts w:ascii="GHEA Grapalat" w:hAnsi="GHEA Grapalat" w:cs="Sylfaen"/>
                <w:color w:val="000000" w:themeColor="text1"/>
                <w:szCs w:val="22"/>
                <w:lang w:val="ru-RU" w:eastAsia="en-US"/>
              </w:rPr>
              <w:t>.</w:t>
            </w:r>
          </w:p>
          <w:p w14:paraId="4A594A16" w14:textId="77777777" w:rsidR="005551FC" w:rsidRPr="00F26450" w:rsidRDefault="005551FC" w:rsidP="00AD0A20">
            <w:pPr>
              <w:pStyle w:val="norm"/>
              <w:spacing w:line="240" w:lineRule="auto"/>
              <w:ind w:firstLine="437"/>
              <w:rPr>
                <w:rFonts w:ascii="GHEA Grapalat" w:hAnsi="GHEA Grapalat" w:cs="Sylfaen"/>
                <w:color w:val="000000" w:themeColor="text1"/>
                <w:szCs w:val="22"/>
                <w:lang w:val="ru-RU" w:eastAsia="en-US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>6) копию агентского договора и данные лица, являющегося стороной этого договора, если заключаемый договор будет исполняться через агентство</w:t>
            </w:r>
            <w:r w:rsidRPr="00F26450">
              <w:rPr>
                <w:rFonts w:ascii="GHEA Grapalat" w:hAnsi="GHEA Grapalat" w:cs="Sylfaen"/>
                <w:color w:val="000000" w:themeColor="text1"/>
                <w:szCs w:val="22"/>
                <w:lang w:val="ru-RU" w:eastAsia="en-US"/>
              </w:rPr>
              <w:t>.</w:t>
            </w:r>
          </w:p>
          <w:p w14:paraId="5E7C18B0" w14:textId="77777777" w:rsidR="005551FC" w:rsidRPr="00F26450" w:rsidRDefault="005551FC" w:rsidP="00AD0A20">
            <w:pPr>
              <w:pStyle w:val="norm"/>
              <w:widowControl w:val="0"/>
              <w:tabs>
                <w:tab w:val="left" w:pos="990"/>
              </w:tabs>
              <w:spacing w:line="240" w:lineRule="auto"/>
              <w:ind w:firstLine="437"/>
              <w:rPr>
                <w:rFonts w:ascii="GHEA Grapalat" w:hAnsi="GHEA Grapalat"/>
                <w:color w:val="000000" w:themeColor="text1"/>
                <w:szCs w:val="22"/>
                <w:lang w:val="ru-RU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szCs w:val="22"/>
                <w:lang w:val="hy-AM" w:eastAsia="en-US"/>
              </w:rPr>
              <w:t xml:space="preserve">7) </w:t>
            </w:r>
            <w:r w:rsidRPr="00F26450">
              <w:rPr>
                <w:rFonts w:ascii="GHEA Grapalat" w:hAnsi="GHEA Grapalat"/>
                <w:color w:val="000000" w:themeColor="text1"/>
                <w:szCs w:val="22"/>
                <w:lang w:val="ru-RU"/>
              </w:rPr>
              <w:t>посредством системы представить копию договора о совместной деятельности, если участники участвуют в настоящей процедуре в порядке совместной деятельности (консорциумом);</w:t>
            </w:r>
          </w:p>
          <w:p w14:paraId="59CC0AF4" w14:textId="77777777" w:rsidR="005551FC" w:rsidRPr="00F26450" w:rsidRDefault="005551FC" w:rsidP="00AD0A20">
            <w:pPr>
              <w:tabs>
                <w:tab w:val="left" w:pos="990"/>
              </w:tabs>
              <w:spacing w:after="0" w:line="240" w:lineRule="auto"/>
              <w:ind w:firstLine="437"/>
              <w:jc w:val="both"/>
              <w:rPr>
                <w:rFonts w:ascii="GHEA Grapalat" w:hAnsi="GHEA Grapalat" w:cs="Sylfaen"/>
                <w:color w:val="000000" w:themeColor="text1"/>
                <w:lang w:val="ru-RU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lang w:val="ru-RU"/>
              </w:rPr>
              <w:t xml:space="preserve">При этом в случае участия в настоящей процедуре в порядке совместной деятельности (консорциумом): </w:t>
            </w:r>
          </w:p>
          <w:p w14:paraId="03CD0584" w14:textId="77777777" w:rsidR="005551FC" w:rsidRPr="00F26450" w:rsidRDefault="005551FC" w:rsidP="00AD0A20">
            <w:pPr>
              <w:pStyle w:val="ListParagraph"/>
              <w:numPr>
                <w:ilvl w:val="0"/>
                <w:numId w:val="3"/>
              </w:numPr>
              <w:tabs>
                <w:tab w:val="left" w:pos="567"/>
              </w:tabs>
              <w:spacing w:line="240" w:lineRule="auto"/>
              <w:ind w:left="0" w:firstLine="437"/>
              <w:jc w:val="both"/>
              <w:rPr>
                <w:rFonts w:ascii="GHEA Grapalat" w:hAnsi="GHEA Grapalat" w:cs="Sylfaen"/>
                <w:color w:val="000000" w:themeColor="text1"/>
                <w:lang w:val="ru-RU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lang w:val="ru-RU"/>
              </w:rPr>
              <w:t>ни одна из сторон договора о совместной деятельности не может подавать отдельную заявку на данную процедуру (на один и тот же лот). В случае несоблюдения требования настоящего абзаца на заседании по вскрытию заявок отклоняются как в порядке совместной деятельности, так и отдельно представленные заявки;</w:t>
            </w:r>
          </w:p>
          <w:p w14:paraId="6B594861" w14:textId="77777777" w:rsidR="005551FC" w:rsidRPr="00F26450" w:rsidRDefault="005551FC" w:rsidP="005551FC">
            <w:pPr>
              <w:pStyle w:val="ListParagraph"/>
              <w:numPr>
                <w:ilvl w:val="0"/>
                <w:numId w:val="4"/>
              </w:numPr>
              <w:tabs>
                <w:tab w:val="left" w:pos="567"/>
              </w:tabs>
              <w:spacing w:line="240" w:lineRule="auto"/>
              <w:ind w:left="0" w:firstLine="437"/>
              <w:jc w:val="both"/>
              <w:rPr>
                <w:rFonts w:ascii="GHEA Grapalat" w:hAnsi="GHEA Grapalat" w:cs="Sylfaen"/>
                <w:color w:val="000000" w:themeColor="text1"/>
                <w:lang w:val="ru-RU"/>
              </w:rPr>
            </w:pPr>
            <w:r w:rsidRPr="00F26450">
              <w:rPr>
                <w:rFonts w:ascii="GHEA Grapalat" w:hAnsi="GHEA Grapalat" w:cs="Sylfaen"/>
                <w:color w:val="000000" w:themeColor="text1"/>
                <w:lang w:val="ru-RU"/>
              </w:rPr>
              <w:t>если договором о совместной деятельности установлено, что общие дела участников ведет отдельный участник договора о совместной деятельности, то заявка подается, а в случае заключения договора выплаты производятся этому участнику. В случае, когда договором о совместной деятельности предусмотрено, что при ведении общих дел каждый участник имеет право действовать от имени всех участников, то в случае заключения договора платежи на его основании производятся представившему заявку участнику</w:t>
            </w:r>
            <w:r w:rsidRPr="00F26450">
              <w:rPr>
                <w:rFonts w:ascii="GHEA Grapalat" w:hAnsi="GHEA Grapalat" w:cs="Sylfaen"/>
                <w:color w:val="000000" w:themeColor="text1"/>
                <w:lang w:val="hy-AM"/>
              </w:rPr>
              <w:t>.</w:t>
            </w:r>
          </w:p>
        </w:tc>
      </w:tr>
    </w:tbl>
    <w:p w14:paraId="17D26AF9" w14:textId="77777777" w:rsidR="00FB2381" w:rsidRPr="00F26450" w:rsidRDefault="00FB2381" w:rsidP="005551FC">
      <w:pPr>
        <w:rPr>
          <w:color w:val="000000" w:themeColor="text1"/>
          <w:lang w:val="ru-RU"/>
        </w:rPr>
      </w:pPr>
    </w:p>
    <w:sectPr w:rsidR="00FB2381" w:rsidRPr="00F26450" w:rsidSect="005551FC"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0E9"/>
    <w:rsid w:val="00355322"/>
    <w:rsid w:val="00403A2F"/>
    <w:rsid w:val="005551FC"/>
    <w:rsid w:val="005E1ADD"/>
    <w:rsid w:val="006E0F15"/>
    <w:rsid w:val="00734F11"/>
    <w:rsid w:val="0095233F"/>
    <w:rsid w:val="00A528A1"/>
    <w:rsid w:val="00A56BC8"/>
    <w:rsid w:val="00AB1205"/>
    <w:rsid w:val="00B669BD"/>
    <w:rsid w:val="00BE1B28"/>
    <w:rsid w:val="00C970E9"/>
    <w:rsid w:val="00F26450"/>
    <w:rsid w:val="00FB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4ED73"/>
  <w15:chartTrackingRefBased/>
  <w15:docId w15:val="{43ADF6AF-FEE8-4193-9EC8-BDCCBA55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FB2381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FB2381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FB2381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AB1205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AB1205"/>
  </w:style>
  <w:style w:type="character" w:styleId="Hyperlink">
    <w:name w:val="Hyperlink"/>
    <w:basedOn w:val="DefaultParagraphFont"/>
    <w:uiPriority w:val="99"/>
    <w:unhideWhenUsed/>
    <w:rsid w:val="00AB12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15</cp:revision>
  <dcterms:created xsi:type="dcterms:W3CDTF">2024-03-20T11:43:00Z</dcterms:created>
  <dcterms:modified xsi:type="dcterms:W3CDTF">2025-05-26T11:06:00Z</dcterms:modified>
</cp:coreProperties>
</file>