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ԷԱՃԱՊՁԲ-2025/Է-54  ծածկագրով  դիզելային վառելիքի /ձմեռային/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098-20-33-09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ԷԱՃԱՊՁԲ-2025/Է-54  ծածկագրով  դիզելային վառելիքի /ձմեռային/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ԷԱՃԱՊՁԲ-2025/Է-54  ծածկագրով  դիզելային վառելիքի /ձմեռային/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ԷԱՃԱՊՁԲ-2025/Է-54  ծածկագրով  դիզելային վառելիքի /ձմեռային/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ԷԱՃԱՊՁԲ-2025/Է-54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ԷԱՃԱՊՁԲ-2025/Է-54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Արագընթաց դիզելային շարժիչների ձմեռային շահագործման համար: 
Ըստ ԳՕՍՏ 32511-2013-ի, դասը՝ 2.
- զտման սահմանային ջերմաստիճանը՝  ոչ բարձր  - 32ºC,
- պղտորման ջերմաստիճանը` ոչ բարձր  -22ºC,
- խտությունը 15 ºC ջերմաստիճանում՝ 800-ից մինչև 840 կգ/մ3,
- մածուցիկությունը՝ 40 ºC-ում` 1,5- 4 մմ2/վ,
- ցետանային թիվը 48-ից ոչ պակաս,
- ցետանային ցուցիչը՝ 46-ից ոչ պակաս,
- ֆրակցիոն կազմը՝ մինչև 180 ºC–ում թորվում է ոչ ավել 10%, մինչև 360 ºC–ում թորվում է ոչ պակաս 90%,
- բռնկման ջերմաստիճանը՝ ոչ պակաս 40 ºC,
- Կ5 էկոլոգիական դասի՝ ըստ ՄՄՏԿ-013/2011 (Մաքսային միության տեխնիկական կանոնակարգ),
- ծծմբի զանգվածային բաժինը՝ ոչ ավել 10 մգ/կգ:
      Մատակարարման պահին պահպանման երաշխիքային ժամկետի մնացորդը ոչ պակաս 80%: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3640 լիտր, 4-րդ եռամսյակում՝ 4000 լիտր: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