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ՍՄԿԲԿ-ԷԱՃԱՊՁԲ-25/38</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внешний вид чистый и прозрачный, октановое число, определенное по методу исследования, не менее 91, по моторному методу, не менее 81, Давление насыщенных паров бензина от 45 до 100 кПа, Содержание свинца не более 5 мг/дм3, Объем бензола не более 1%, плотность при 15 ° С, от 720 до 775 кг / м 3, Массовая доля серы не более 10 мг/кг , массовая доля кислорода - не более 2,7%․ Mаркировка и упаковка в соответствии с Постановлением Правительства РА 2004 года. «Технический регламент на топливо для двигателей внутреннего сгорания», утвержденный Решением № 1592-N от 11 ноября 2009 г.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