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աթոռ</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աթոռ</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աթոռ</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աթոռ</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 մետաղական  նիկելապատ հինգ թևանի խաչուկով և սիլիկոնե անիվներով։ Պաստառը թիկնակում երեսապատված է  ցանցով իսկ նստատեղում ցանցապատ ամուր կտորով: Արմնկակալները պլաստմասե 5սմ լայնությամբ՝ ամրացված նստատեղի տակից և թիկնակի հետևից մաժամանակ։ Արմնկակալների բարձրությունը նստատեղից ՝ 22սմ, արմնկակալների միջև հեռավորությունը   55սմ։Նստատեղը կազմված է 1.5մմ հաստությամբ նրբատախտակից և 45մմ հաստությամբ 35 խտության սպունգից , պաստառապատված է բարձրորակ ցանցապատ կտորով։Նստատեղի լայնքը՝ 46սմ ամենալայն հատվածում,խորությունը՝47սմ։ Թիկնակը պլաստմասե՝ ներքևում լրացուցիչ էրգոնոմիկ դետալով։Թիկնակի բարձր. նստատեղից 47,5սմ,  լայնությունը 42սմ, հատակից մինչև նստատեղ 44,5սմ է: Քաշի սահմանափակում՜ նվազագույնը 90կգ.: Մեխանիզմը բարձրացող իջնող և մեկ աշխատանքային դիրքում ֆիքսելու հնարավորությամբ։ Ապրանքի արտաքին տեսքը և գույնը նախապես համաձայնեցնել պատվիրատուի հետ։ Ապրանքի տեղափոխումը ավտոտրանսպորտով, բեռնաթափումը՝ բանվորական ուժով կատարվում է մատակարարի կողմից:  Երաշխիք՝ ապրանքը ընդունելու օրվանից 1 տարի: Պարտադիր պայման՝ ապրանքը պետք է լինի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