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հորիզոնական շերտավարագույր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հորիզոնական շերտավարագույր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հորիզոնական շերտավարագույր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հորիզոնական շերտավարագույր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շերտավարագույրի շերտերը ալյումինե թիթեղներից 25 մմ լայնությամբ: Թիթեղները միացված միմյանց սանդուղք-պարանի միջոցով հորիզոնական դիրքով, վերև-ներքև դիրքերը իրականացվեն կառավարման պարանի միջոցով, պտույտը իրենց առանցքի շուրջ 180° ապահովի պլաստիկե թափանցիկ ձողը:Քիվը- ամուր, պողպատյա, չափսերը՝ 20x25մմ: Շերտավարագույրի ստորին մասում տեղակայված լինի փոշեներկված պողպատյա ստորին քիվ (ծանրոց), 25մմ, որը ապահովի շերտավարագույրի առաձգականությունը:
Թիթեղների գույնը-բաց մոխրագույն: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