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 ԷԱՃԱՊՁԲ-2025/02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Марзпета Ширака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г.Гюмри ул. Г.Нжде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Зарик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zarikm@mail.ru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0312 49000 130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Марзпета Ширака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 ԷԱՃԱՊՁԲ-2025/02</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Марзпета Ширака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Марзпета Ширака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Аппарат Марзпета Ширака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 ԷԱՃԱՊՁԲ-2025/02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zarikm@mail.ru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многофункционального лазерного принтера для нужд аппарата губернатора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ՇՄԱ ԷԱՃԱՊՁԲ-2025/02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 ԷԱՃԱՊՁԲ-2025/02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тип МФУ лазерное. Устройство имеет в себе копировальный аппарат, сканер, принтер, максимальный формат А4 включительно, черно-белое, технология печати лазерная, максимальное разрешение при ч/б печати 600х600 dpi, скорость печати - не менее 38 страниц в минуту (А4). Количество страниц в месяц - рассчитано не менее 80 000 (А4), время выхода первой черно-белой копии - не более 6,3 секунды. Имеет возможность автоматической двусторонней печати. Оптическая плотность точек сканера - не менее 600х600 dpi, скорость сканирования - не менее 29 страниц/изображений в минуту (А4). Автоматическая подача бумаги для двусторонней печати - не менее 50 листов. Максимальное разрешение копирования - 600х600 dpi включительно. Скорость копирования - не менее 38 страниц в минуту (А4), размер увеличения изображения 25-400% включительно. Предполагаемая плотность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программами для ОС Windows, iOS, Android. Отображение информации: не менее LCD. Заводская сборка и упаковка. Без кода заправки картриджа или разблокировки кода за счет продавца.Организация-победитель должна предоставить гарантию сроком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/քսան/օրյա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