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օդորակիչի  ձեռք բերում ԵՊԷԱՃ25-17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օդորակիչի  ձեռք բերում ԵՊԷԱՃ25-17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օդորակիչի  ձեռք բերում ԵՊԷԱՃ25-17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օդորակիչի  ձեռք բերում ԵՊԷԱՃ25-17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ՊՈԼԻԿԼԻՆԻԿԱՅԻ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ռեժիմներըէ  տաքացում սառեցում                                                                                                                                              Հզորությունը սառեցման ռեժիմում  9000BTU, Հզորությունը ջեռուցման ռեժիմում` 10000BTU,Ծախսը սառեցման ռեժիմում` 799Վտ/ժ,Ծախսը ջեռուցման ռեժիմում՝ 789Վտ/ժ, Ապահովող մակերեսը՝ Մինչև 30 մ²,Աշխատանքային ջերմաստիճանը՝ Մինչև ( -15 C),Ինվերտորային շարժիչի առկայությունը պարտադիր է, Երաշխիքը 4 տարի։ Մատակարարումը, տեղադրումը ներառվում է գնի մեջ, որը պետք է իրականացվի պայմանագիրը կնքելուց 5 օրվա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