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A42" w:rsidRPr="002D20A8" w:rsidRDefault="00997A42" w:rsidP="00997A42">
      <w:pPr>
        <w:jc w:val="center"/>
        <w:rPr>
          <w:rFonts w:ascii="GHEA Grapalat" w:hAnsi="GHEA Grapalat"/>
          <w:b/>
          <w:sz w:val="20"/>
          <w:szCs w:val="20"/>
          <w:lang w:val="en-US"/>
        </w:rPr>
      </w:pPr>
      <w:r w:rsidRPr="002D20A8">
        <w:rPr>
          <w:rFonts w:ascii="GHEA Grapalat" w:hAnsi="GHEA Grapalat"/>
          <w:b/>
          <w:sz w:val="20"/>
          <w:szCs w:val="20"/>
          <w:lang w:val="en-US"/>
        </w:rPr>
        <w:t>ՏԵԽՆԻԿԱԿԱՆ ԲՆՈՒԹԱԳԻՐ</w:t>
      </w:r>
    </w:p>
    <w:tbl>
      <w:tblPr>
        <w:tblStyle w:val="TableGrid"/>
        <w:tblW w:w="10530" w:type="dxa"/>
        <w:tblInd w:w="-635" w:type="dxa"/>
        <w:tblLook w:val="04A0" w:firstRow="1" w:lastRow="0" w:firstColumn="1" w:lastColumn="0" w:noHBand="0" w:noVBand="1"/>
      </w:tblPr>
      <w:tblGrid>
        <w:gridCol w:w="1558"/>
        <w:gridCol w:w="2369"/>
        <w:gridCol w:w="6603"/>
      </w:tblGrid>
      <w:tr w:rsidR="005257F7" w:rsidRPr="002D20A8" w:rsidTr="005257F7">
        <w:trPr>
          <w:trHeight w:val="494"/>
        </w:trPr>
        <w:tc>
          <w:tcPr>
            <w:tcW w:w="1558" w:type="dxa"/>
            <w:vAlign w:val="center"/>
          </w:tcPr>
          <w:p w:rsidR="00997A42" w:rsidRPr="002D20A8" w:rsidRDefault="00997A42" w:rsidP="0015122E">
            <w:pPr>
              <w:jc w:val="center"/>
              <w:rPr>
                <w:rFonts w:ascii="GHEA Grapalat" w:hAnsi="GHEA Grapalat"/>
                <w:b/>
                <w:sz w:val="20"/>
                <w:szCs w:val="20"/>
                <w:lang w:val="en-US"/>
              </w:rPr>
            </w:pPr>
            <w:r w:rsidRPr="002D20A8">
              <w:rPr>
                <w:rFonts w:ascii="GHEA Grapalat" w:hAnsi="GHEA Grapalat"/>
                <w:b/>
                <w:sz w:val="20"/>
                <w:szCs w:val="20"/>
                <w:lang w:val="en-US"/>
              </w:rPr>
              <w:t>ՉԱՓԱԲԱԺԻՆ</w:t>
            </w:r>
          </w:p>
        </w:tc>
        <w:tc>
          <w:tcPr>
            <w:tcW w:w="1417" w:type="dxa"/>
            <w:vAlign w:val="center"/>
          </w:tcPr>
          <w:p w:rsidR="00997A42" w:rsidRPr="002D20A8" w:rsidRDefault="00997A42" w:rsidP="0015122E">
            <w:pPr>
              <w:jc w:val="center"/>
              <w:rPr>
                <w:rFonts w:ascii="GHEA Grapalat" w:hAnsi="GHEA Grapalat"/>
                <w:b/>
                <w:sz w:val="20"/>
                <w:szCs w:val="20"/>
                <w:lang w:val="en-US"/>
              </w:rPr>
            </w:pPr>
            <w:r w:rsidRPr="002D20A8">
              <w:rPr>
                <w:rFonts w:ascii="GHEA Grapalat" w:hAnsi="GHEA Grapalat"/>
                <w:b/>
                <w:sz w:val="20"/>
                <w:szCs w:val="20"/>
                <w:lang w:val="en-US"/>
              </w:rPr>
              <w:t>ԱՆՎԱՆՈՒՄ</w:t>
            </w:r>
          </w:p>
        </w:tc>
        <w:tc>
          <w:tcPr>
            <w:tcW w:w="7555" w:type="dxa"/>
            <w:vAlign w:val="center"/>
          </w:tcPr>
          <w:p w:rsidR="00997A42" w:rsidRPr="002D20A8" w:rsidRDefault="00997A42" w:rsidP="0015122E">
            <w:pPr>
              <w:jc w:val="center"/>
              <w:rPr>
                <w:rFonts w:ascii="GHEA Grapalat" w:hAnsi="GHEA Grapalat"/>
                <w:b/>
                <w:sz w:val="20"/>
                <w:szCs w:val="20"/>
                <w:lang w:val="en-US"/>
              </w:rPr>
            </w:pPr>
            <w:r w:rsidRPr="002D20A8">
              <w:rPr>
                <w:rFonts w:ascii="GHEA Grapalat" w:hAnsi="GHEA Grapalat"/>
                <w:b/>
                <w:sz w:val="20"/>
                <w:szCs w:val="20"/>
                <w:lang w:val="en-US"/>
              </w:rPr>
              <w:t>ԲՆՈՒԹԱԳԻՐ</w:t>
            </w:r>
          </w:p>
        </w:tc>
      </w:tr>
      <w:tr w:rsidR="005257F7" w:rsidRPr="001A17E1" w:rsidTr="005257F7">
        <w:tc>
          <w:tcPr>
            <w:tcW w:w="1558" w:type="dxa"/>
            <w:vAlign w:val="center"/>
          </w:tcPr>
          <w:p w:rsidR="00997A42" w:rsidRPr="002D20A8" w:rsidRDefault="00997A42" w:rsidP="0015122E">
            <w:pPr>
              <w:jc w:val="center"/>
              <w:rPr>
                <w:rFonts w:ascii="GHEA Grapalat" w:hAnsi="GHEA Grapalat"/>
                <w:b/>
                <w:sz w:val="20"/>
                <w:szCs w:val="20"/>
                <w:lang w:val="en-US"/>
              </w:rPr>
            </w:pPr>
            <w:r w:rsidRPr="002D20A8">
              <w:rPr>
                <w:rFonts w:ascii="GHEA Grapalat" w:hAnsi="GHEA Grapalat"/>
                <w:b/>
                <w:sz w:val="20"/>
                <w:szCs w:val="20"/>
                <w:lang w:val="en-US"/>
              </w:rPr>
              <w:t>1</w:t>
            </w:r>
          </w:p>
        </w:tc>
        <w:tc>
          <w:tcPr>
            <w:tcW w:w="1417" w:type="dxa"/>
            <w:vAlign w:val="center"/>
          </w:tcPr>
          <w:p w:rsidR="00997A42" w:rsidRPr="002D20A8" w:rsidRDefault="00DB5103" w:rsidP="0015122E">
            <w:pPr>
              <w:jc w:val="center"/>
              <w:rPr>
                <w:rFonts w:ascii="GHEA Grapalat" w:hAnsi="GHEA Grapalat"/>
                <w:b/>
                <w:sz w:val="20"/>
                <w:szCs w:val="20"/>
                <w:lang w:val="en-US"/>
              </w:rPr>
            </w:pPr>
            <w:r>
              <w:rPr>
                <w:rFonts w:ascii="GHEA Grapalat" w:hAnsi="GHEA Grapalat" w:cs="Arial"/>
                <w:sz w:val="20"/>
                <w:szCs w:val="20"/>
              </w:rPr>
              <w:t>Մանկական խաղահրապարակների կարուսելներ</w:t>
            </w:r>
          </w:p>
        </w:tc>
        <w:tc>
          <w:tcPr>
            <w:tcW w:w="7555" w:type="dxa"/>
          </w:tcPr>
          <w:p w:rsidR="00997A42" w:rsidRPr="002D20A8" w:rsidRDefault="00997A42" w:rsidP="00997A42">
            <w:pPr>
              <w:jc w:val="center"/>
              <w:rPr>
                <w:rFonts w:ascii="GHEA Grapalat" w:hAnsi="GHEA Grapalat" w:cstheme="minorHAnsi"/>
                <w:sz w:val="20"/>
                <w:szCs w:val="20"/>
                <w:lang w:val="hy-AM"/>
              </w:rPr>
            </w:pPr>
            <w:r w:rsidRPr="002D20A8">
              <w:rPr>
                <w:rFonts w:ascii="GHEA Grapalat" w:hAnsi="GHEA Grapalat" w:cstheme="minorHAnsi"/>
                <w:b/>
                <w:bCs/>
                <w:sz w:val="20"/>
                <w:szCs w:val="20"/>
                <w:lang w:val="hy-AM"/>
              </w:rPr>
              <w:t>«Պտտվող կարուսել»</w:t>
            </w:r>
          </w:p>
          <w:p w:rsidR="00997A42" w:rsidRPr="002D20A8" w:rsidRDefault="00997A42" w:rsidP="00997A42">
            <w:pPr>
              <w:rPr>
                <w:rFonts w:ascii="GHEA Grapalat" w:hAnsi="GHEA Grapalat" w:cstheme="minorHAnsi"/>
                <w:sz w:val="20"/>
                <w:szCs w:val="20"/>
                <w:lang w:val="hy-AM"/>
              </w:rPr>
            </w:pP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sz w:val="20"/>
                <w:szCs w:val="20"/>
                <w:lang w:val="hy-AM"/>
              </w:rPr>
              <w:t>Տարիքային խումբ՝ 3-12 տարեկան,</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sz w:val="20"/>
                <w:szCs w:val="20"/>
                <w:lang w:val="hy-AM"/>
              </w:rPr>
              <w:t>Չափսեր՝ ոչ ավելի քան Ø1500x1500x750մմ,</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sz w:val="20"/>
                <w:szCs w:val="20"/>
                <w:lang w:val="hy-AM"/>
              </w:rPr>
              <w:t xml:space="preserve">Ապահովության գոտի՝ Ø1500մմ հարթակի համար՝ 6000մմ։ </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Կիրառություն։</w:t>
            </w:r>
            <w:r w:rsidRPr="002D20A8">
              <w:rPr>
                <w:rFonts w:ascii="GHEA Grapalat" w:hAnsi="GHEA Grapalat" w:cstheme="minorHAnsi"/>
                <w:sz w:val="20"/>
                <w:szCs w:val="20"/>
                <w:lang w:val="hy-AM"/>
              </w:rPr>
              <w:t xml:space="preserve"> Խաղասարքը նախատեսված պետք է լինի 4-6 երեխայի միաժամանակյա նստած օգագործման համար։ Այն պետք է ունենա հակավանդալային բոլոր հատկանիշները և նախատեսված լինի հասարակական վայրում օգտագործման համար։ </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 xml:space="preserve">Հարթակի </w:t>
            </w:r>
            <w:r w:rsidRPr="002D20A8">
              <w:rPr>
                <w:rFonts w:ascii="GHEA Grapalat" w:hAnsi="GHEA Grapalat" w:cstheme="minorHAnsi"/>
                <w:sz w:val="20"/>
                <w:szCs w:val="20"/>
                <w:lang w:val="hy-AM"/>
              </w:rPr>
              <w:t xml:space="preserve"> ամբողջ մակերեսը պետք է ծածկված լինի չժանգոտվող թիթեղով (առնվազն 1,8մմ), թիթեղի ծայրերը պետք է կամ փակված լինեն չժանգոտվող անկյունակով, կամ ծալված լինեն ներքև։ Հարթակի մակերեսից դուրս չպետք է լինեն որևէ բռնակ, նստատեղ կամ դեկորատիվ էլեմենտ։ Հարթակը գետնից պետք է բարձր լինի ոչ ավելի քան 100մմ։ </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Բռնակները</w:t>
            </w:r>
            <w:r w:rsidRPr="002D20A8">
              <w:rPr>
                <w:rFonts w:ascii="GHEA Grapalat" w:hAnsi="GHEA Grapalat" w:cstheme="minorHAnsi"/>
                <w:sz w:val="20"/>
                <w:szCs w:val="20"/>
                <w:lang w:val="hy-AM"/>
              </w:rPr>
              <w:t xml:space="preserve"> պետք է պատրաստված լինեն պողպատե խողովակից (առնվազն 25մմ) և չպետք է դուրս գան հարթակի հարթության սահմաններից։ </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Նստատեղեր</w:t>
            </w:r>
            <w:r w:rsidRPr="002D20A8">
              <w:rPr>
                <w:rFonts w:ascii="GHEA Grapalat" w:hAnsi="GHEA Grapalat" w:cstheme="minorHAnsi"/>
                <w:sz w:val="20"/>
                <w:szCs w:val="20"/>
                <w:lang w:val="hy-AM"/>
              </w:rPr>
              <w:t xml:space="preserve"> պետք է ունենան ոչ ավելի քան 300մմ բարձրություն խաղասարքի հարթակից, ծածկված լինեն ջերմոմեկուսիչ շերտով (ПВХ առնվազն 5մմ, փայտ կամ համարժեք)։</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Պտույտն</w:t>
            </w:r>
            <w:r w:rsidRPr="002D20A8">
              <w:rPr>
                <w:rFonts w:ascii="GHEA Grapalat" w:hAnsi="GHEA Grapalat" w:cstheme="minorHAnsi"/>
                <w:sz w:val="20"/>
                <w:szCs w:val="20"/>
                <w:lang w:val="hy-AM"/>
              </w:rPr>
              <w:t xml:space="preserve"> իրականացվելու է կոնաձև առանցկակալի միջոցով արտաքին ուժերի ազդեցության միջոցով։</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Նյութեր</w:t>
            </w:r>
            <w:r w:rsidRPr="002D20A8">
              <w:rPr>
                <w:rFonts w:ascii="GHEA Grapalat" w:hAnsi="GHEA Grapalat" w:cstheme="minorHAnsi"/>
                <w:sz w:val="20"/>
                <w:szCs w:val="20"/>
                <w:lang w:val="hy-AM"/>
              </w:rPr>
              <w:t>՝ պողպատե պրոֆիլ (առնվազն 2մմ պատի հաստությամբ), չժանգոտվող մետաղից թիթեղ (առնվազն 1,8մմ հաստությամբ), ջերմոմեկուսիչ շերտ (ПВХ, փայտ կամ համարժեք), փայտ՝ յուղված։</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Ներկվածք։</w:t>
            </w:r>
            <w:r w:rsidRPr="002D20A8">
              <w:rPr>
                <w:rFonts w:ascii="GHEA Grapalat" w:hAnsi="GHEA Grapalat" w:cstheme="minorHAnsi"/>
                <w:sz w:val="20"/>
                <w:szCs w:val="20"/>
                <w:lang w:val="hy-AM"/>
              </w:rPr>
              <w:t xml:space="preserve"> Խաղասարքը կարող է և փոշեներկված լինել, և ներկված լինել երկշերտ փչվածքի տարբերակով։ Ներկերը պետք է նախատեսված լինեն երեխաների անընդհատ կացության վայրերի համար։</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Ուղեկցվող փաստաթղթեր</w:t>
            </w:r>
            <w:r w:rsidRPr="002D20A8">
              <w:rPr>
                <w:rFonts w:ascii="GHEA Grapalat" w:hAnsi="GHEA Grapalat" w:cstheme="minorHAnsi"/>
                <w:sz w:val="20"/>
                <w:szCs w:val="20"/>
                <w:lang w:val="hy-AM"/>
              </w:rPr>
              <w:t>։ Խաղասարքի հետ պետք է տրվի խաղասարքի շահագործման անձնագիր։</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b/>
                <w:bCs/>
                <w:sz w:val="20"/>
                <w:szCs w:val="20"/>
                <w:lang w:val="hy-AM"/>
              </w:rPr>
              <w:t>Տեղադրում։</w:t>
            </w:r>
            <w:r w:rsidRPr="002D20A8">
              <w:rPr>
                <w:rFonts w:ascii="GHEA Grapalat" w:hAnsi="GHEA Grapalat" w:cstheme="minorHAnsi"/>
                <w:sz w:val="20"/>
                <w:szCs w:val="20"/>
                <w:lang w:val="hy-AM"/>
              </w:rPr>
              <w:t xml:space="preserve"> Խաղասարքը պետք է բաղկացած լինի երկու մասից։ Առաջինը հիմք, որն մետաղական ամրանների (առնվազն 14մմ) և բետոնացման (B200-250) միջոցով ֆիքսվում է գետնի մեջ։ Երկրորդը նստատեղերով և բռնակներով հարթակ, որը ամրացվում է հիմքին։ </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sz w:val="20"/>
                <w:szCs w:val="20"/>
                <w:lang w:val="hy-AM"/>
              </w:rPr>
              <w:t xml:space="preserve">Խաղասարքը պետք է պատրաստված լինի համաձայն ԳՈՍՏ 34614.5 (EN 1176-5:2017)-ի։ Խաղասարքին տրվում է առնվազն 1 տարվա երաշխիք։ Տեխնիկական սպասարկման նախընտրելի հաճախականությունը՝ 1 տարի։ </w:t>
            </w:r>
          </w:p>
          <w:p w:rsidR="00997A42" w:rsidRPr="002D20A8" w:rsidRDefault="00997A42" w:rsidP="00997A42">
            <w:pPr>
              <w:rPr>
                <w:rFonts w:ascii="GHEA Grapalat" w:hAnsi="GHEA Grapalat" w:cstheme="minorHAnsi"/>
                <w:sz w:val="20"/>
                <w:szCs w:val="20"/>
                <w:lang w:val="hy-AM"/>
              </w:rPr>
            </w:pPr>
            <w:r w:rsidRPr="002D20A8">
              <w:rPr>
                <w:rFonts w:ascii="GHEA Grapalat" w:hAnsi="GHEA Grapalat" w:cstheme="minorHAnsi"/>
                <w:sz w:val="20"/>
                <w:szCs w:val="20"/>
                <w:lang w:val="hy-AM"/>
              </w:rPr>
              <w:t xml:space="preserve">Խաղասարքը նախատեսված չէ </w:t>
            </w:r>
            <w:r w:rsidRPr="002D20A8">
              <w:rPr>
                <w:rFonts w:ascii="GHEA Grapalat" w:hAnsi="GHEA Grapalat" w:cstheme="minorHAnsi"/>
                <w:b/>
                <w:bCs/>
                <w:sz w:val="20"/>
                <w:szCs w:val="20"/>
                <w:lang w:val="hy-AM"/>
              </w:rPr>
              <w:t>սահմանափակ կարողություններ</w:t>
            </w:r>
            <w:r w:rsidRPr="002D20A8">
              <w:rPr>
                <w:rFonts w:ascii="GHEA Grapalat" w:hAnsi="GHEA Grapalat" w:cstheme="minorHAnsi"/>
                <w:sz w:val="20"/>
                <w:szCs w:val="20"/>
                <w:lang w:val="hy-AM"/>
              </w:rPr>
              <w:t xml:space="preserve"> ունեցող երեխաների համար։ Մատչելի նստատեղ տեղադրելու դեպքում, խաղասարքի իրանը կարող է օգտագործվել սահմանափակ կարողություններ ունեցող երեխաների համար։ </w:t>
            </w:r>
          </w:p>
          <w:p w:rsidR="00997A42" w:rsidRPr="002D20A8" w:rsidRDefault="002D20A8" w:rsidP="002D20A8">
            <w:pPr>
              <w:rPr>
                <w:rFonts w:ascii="GHEA Grapalat" w:eastAsia="Times New Roman" w:hAnsi="GHEA Grapalat" w:cstheme="minorHAnsi"/>
                <w:sz w:val="20"/>
                <w:szCs w:val="20"/>
                <w:lang w:val="hy-AM"/>
              </w:rPr>
            </w:pPr>
            <w:r w:rsidRPr="002D20A8">
              <w:rPr>
                <w:rFonts w:ascii="GHEA Grapalat" w:eastAsia="Times New Roman" w:hAnsi="GHEA Grapalat" w:cstheme="minorHAnsi"/>
                <w:sz w:val="20"/>
                <w:szCs w:val="20"/>
                <w:lang w:val="hy-AM"/>
              </w:rPr>
              <w:t>Ապրանքի տեղափոխումը և տեղադրումը կատարվում է մատակարարի հաշվին:</w:t>
            </w:r>
          </w:p>
        </w:tc>
      </w:tr>
    </w:tbl>
    <w:p w:rsidR="00997A42" w:rsidRPr="002D20A8" w:rsidRDefault="00997A42" w:rsidP="00997A42">
      <w:pPr>
        <w:rPr>
          <w:rFonts w:ascii="GHEA Grapalat" w:hAnsi="GHEA Grapalat"/>
          <w:color w:val="FF0000"/>
          <w:sz w:val="20"/>
          <w:szCs w:val="20"/>
          <w:lang w:val="pt-BR"/>
        </w:rPr>
      </w:pPr>
      <w:r w:rsidRPr="002D20A8">
        <w:rPr>
          <w:rFonts w:ascii="GHEA Grapalat" w:hAnsi="GHEA Grapalat"/>
          <w:color w:val="FF0000"/>
          <w:sz w:val="20"/>
          <w:szCs w:val="20"/>
          <w:lang w:val="hy-AM"/>
        </w:rPr>
        <w:t>Հարցերի դեպքում զանգահարել հետևյալ հեռախոսահամարով՝ 093-</w:t>
      </w:r>
      <w:r w:rsidRPr="002D20A8">
        <w:rPr>
          <w:rFonts w:ascii="GHEA Grapalat" w:hAnsi="GHEA Grapalat"/>
          <w:color w:val="FF0000"/>
          <w:sz w:val="20"/>
          <w:szCs w:val="20"/>
          <w:lang w:val="pt-BR"/>
        </w:rPr>
        <w:t>57-97-31</w:t>
      </w:r>
    </w:p>
    <w:p w:rsidR="00997A42" w:rsidRPr="002D20A8" w:rsidRDefault="00997A42" w:rsidP="00997A42">
      <w:pPr>
        <w:rPr>
          <w:rFonts w:ascii="GHEA Grapalat" w:hAnsi="GHEA Grapalat"/>
          <w:b/>
          <w:sz w:val="20"/>
          <w:szCs w:val="20"/>
          <w:lang w:val="pt-BR"/>
        </w:rPr>
      </w:pPr>
    </w:p>
    <w:p w:rsidR="005257F7" w:rsidRPr="002D20A8" w:rsidRDefault="005257F7" w:rsidP="00997A42">
      <w:pPr>
        <w:rPr>
          <w:rFonts w:ascii="GHEA Grapalat" w:hAnsi="GHEA Grapalat"/>
          <w:b/>
          <w:sz w:val="20"/>
          <w:szCs w:val="20"/>
          <w:lang w:val="pt-BR"/>
        </w:rPr>
      </w:pPr>
    </w:p>
    <w:p w:rsidR="005257F7" w:rsidRPr="002D20A8" w:rsidRDefault="005257F7" w:rsidP="00997A42">
      <w:pPr>
        <w:rPr>
          <w:rFonts w:ascii="GHEA Grapalat" w:hAnsi="GHEA Grapalat"/>
          <w:b/>
          <w:sz w:val="20"/>
          <w:szCs w:val="20"/>
          <w:lang w:val="pt-BR"/>
        </w:rPr>
      </w:pPr>
    </w:p>
    <w:p w:rsidR="005257F7" w:rsidRPr="002D20A8" w:rsidRDefault="005257F7" w:rsidP="00997A42">
      <w:pPr>
        <w:rPr>
          <w:rFonts w:ascii="GHEA Grapalat" w:hAnsi="GHEA Grapalat"/>
          <w:b/>
          <w:sz w:val="20"/>
          <w:szCs w:val="20"/>
          <w:lang w:val="pt-BR"/>
        </w:rPr>
      </w:pPr>
    </w:p>
    <w:p w:rsidR="005257F7" w:rsidRPr="002D20A8" w:rsidRDefault="005257F7" w:rsidP="00997A42">
      <w:pPr>
        <w:rPr>
          <w:rFonts w:ascii="GHEA Grapalat" w:hAnsi="GHEA Grapalat"/>
          <w:b/>
          <w:sz w:val="20"/>
          <w:szCs w:val="20"/>
          <w:lang w:val="pt-BR"/>
        </w:rPr>
      </w:pPr>
    </w:p>
    <w:p w:rsidR="00997A42" w:rsidRPr="002D20A8" w:rsidRDefault="00997A42" w:rsidP="00997A42">
      <w:pPr>
        <w:jc w:val="center"/>
        <w:rPr>
          <w:rFonts w:ascii="GHEA Grapalat" w:hAnsi="GHEA Grapalat"/>
          <w:b/>
          <w:sz w:val="20"/>
          <w:szCs w:val="20"/>
          <w:lang w:val="en-US"/>
        </w:rPr>
      </w:pPr>
      <w:r w:rsidRPr="002D20A8">
        <w:rPr>
          <w:rFonts w:ascii="GHEA Grapalat" w:hAnsi="GHEA Grapalat"/>
          <w:b/>
          <w:sz w:val="20"/>
          <w:szCs w:val="20"/>
          <w:lang w:val="en-US"/>
        </w:rPr>
        <w:t>ТЕХНИЧЕСКИЕ ХАРАКТЕРИСТИКИ</w:t>
      </w:r>
    </w:p>
    <w:tbl>
      <w:tblPr>
        <w:tblStyle w:val="TableGrid"/>
        <w:tblW w:w="0" w:type="auto"/>
        <w:tblInd w:w="-365" w:type="dxa"/>
        <w:tblLook w:val="04A0" w:firstRow="1" w:lastRow="0" w:firstColumn="1" w:lastColumn="0" w:noHBand="0" w:noVBand="1"/>
      </w:tblPr>
      <w:tblGrid>
        <w:gridCol w:w="1260"/>
        <w:gridCol w:w="2700"/>
        <w:gridCol w:w="5750"/>
      </w:tblGrid>
      <w:tr w:rsidR="00997A42" w:rsidRPr="002D20A8" w:rsidTr="00DB5103">
        <w:tc>
          <w:tcPr>
            <w:tcW w:w="1260" w:type="dxa"/>
          </w:tcPr>
          <w:p w:rsidR="00997A42" w:rsidRPr="002D20A8" w:rsidRDefault="00997A42" w:rsidP="0015122E">
            <w:pPr>
              <w:jc w:val="center"/>
              <w:rPr>
                <w:rFonts w:ascii="GHEA Grapalat" w:hAnsi="GHEA Grapalat"/>
                <w:b/>
                <w:sz w:val="20"/>
                <w:szCs w:val="20"/>
                <w:lang w:val="en-US"/>
              </w:rPr>
            </w:pPr>
            <w:r w:rsidRPr="002D20A8">
              <w:rPr>
                <w:rFonts w:ascii="GHEA Grapalat" w:hAnsi="GHEA Grapalat"/>
                <w:b/>
                <w:sz w:val="20"/>
                <w:szCs w:val="20"/>
                <w:lang w:val="en-US"/>
              </w:rPr>
              <w:t>НОМЕР ЛОТА</w:t>
            </w:r>
          </w:p>
        </w:tc>
        <w:tc>
          <w:tcPr>
            <w:tcW w:w="2700" w:type="dxa"/>
          </w:tcPr>
          <w:p w:rsidR="00997A42" w:rsidRPr="002D20A8" w:rsidRDefault="00997A42" w:rsidP="00997A42">
            <w:pPr>
              <w:jc w:val="center"/>
              <w:rPr>
                <w:rFonts w:ascii="GHEA Grapalat" w:hAnsi="GHEA Grapalat"/>
                <w:b/>
                <w:sz w:val="20"/>
                <w:szCs w:val="20"/>
                <w:lang w:val="en-US"/>
              </w:rPr>
            </w:pPr>
            <w:r w:rsidRPr="002D20A8">
              <w:rPr>
                <w:rFonts w:ascii="GHEA Grapalat" w:hAnsi="GHEA Grapalat"/>
                <w:b/>
                <w:sz w:val="20"/>
                <w:szCs w:val="20"/>
                <w:lang w:val="en-US"/>
              </w:rPr>
              <w:t xml:space="preserve">НАИМЕНОВАНИЕ </w:t>
            </w:r>
          </w:p>
        </w:tc>
        <w:tc>
          <w:tcPr>
            <w:tcW w:w="5750" w:type="dxa"/>
          </w:tcPr>
          <w:p w:rsidR="00997A42" w:rsidRPr="002D20A8" w:rsidRDefault="00997A42" w:rsidP="0015122E">
            <w:pPr>
              <w:jc w:val="center"/>
              <w:rPr>
                <w:rFonts w:ascii="GHEA Grapalat" w:hAnsi="GHEA Grapalat"/>
                <w:b/>
                <w:sz w:val="20"/>
                <w:szCs w:val="20"/>
                <w:lang w:val="en-US"/>
              </w:rPr>
            </w:pPr>
            <w:r w:rsidRPr="002D20A8">
              <w:rPr>
                <w:rFonts w:ascii="GHEA Grapalat" w:hAnsi="GHEA Grapalat"/>
                <w:b/>
                <w:sz w:val="20"/>
                <w:szCs w:val="20"/>
                <w:lang w:val="en-US"/>
              </w:rPr>
              <w:t>ОПИСАНИЕ</w:t>
            </w:r>
          </w:p>
        </w:tc>
      </w:tr>
      <w:tr w:rsidR="00997A42" w:rsidRPr="002D20A8" w:rsidTr="00DB5103">
        <w:tc>
          <w:tcPr>
            <w:tcW w:w="1260" w:type="dxa"/>
            <w:vAlign w:val="center"/>
          </w:tcPr>
          <w:p w:rsidR="00997A42" w:rsidRPr="002D20A8" w:rsidRDefault="00997A42" w:rsidP="0015122E">
            <w:pPr>
              <w:jc w:val="center"/>
              <w:rPr>
                <w:rFonts w:ascii="GHEA Grapalat" w:hAnsi="GHEA Grapalat"/>
                <w:b/>
                <w:sz w:val="20"/>
                <w:szCs w:val="20"/>
                <w:lang w:val="en-US"/>
              </w:rPr>
            </w:pPr>
            <w:r w:rsidRPr="002D20A8">
              <w:rPr>
                <w:rFonts w:ascii="GHEA Grapalat" w:hAnsi="GHEA Grapalat"/>
                <w:b/>
                <w:sz w:val="20"/>
                <w:szCs w:val="20"/>
                <w:lang w:val="en-US"/>
              </w:rPr>
              <w:t>1</w:t>
            </w:r>
          </w:p>
        </w:tc>
        <w:tc>
          <w:tcPr>
            <w:tcW w:w="2700" w:type="dxa"/>
            <w:vAlign w:val="center"/>
          </w:tcPr>
          <w:p w:rsidR="00DB5103" w:rsidRPr="00DB5103" w:rsidRDefault="00DB5103" w:rsidP="00DB5103">
            <w:pPr>
              <w:shd w:val="clear" w:color="auto" w:fill="FFFFFF"/>
              <w:spacing w:after="75" w:line="600" w:lineRule="atLeast"/>
              <w:ind w:left="-225" w:right="-150"/>
              <w:jc w:val="center"/>
              <w:outlineLvl w:val="0"/>
              <w:rPr>
                <w:rFonts w:ascii="GHEA Grapalat" w:eastAsia="Times New Roman" w:hAnsi="GHEA Grapalat" w:cs="Times New Roman"/>
                <w:b/>
                <w:bCs/>
                <w:caps/>
                <w:color w:val="333333"/>
                <w:kern w:val="36"/>
                <w:sz w:val="20"/>
                <w:szCs w:val="20"/>
                <w:lang w:eastAsia="ru-RU"/>
              </w:rPr>
            </w:pPr>
            <w:r w:rsidRPr="00DB5103">
              <w:rPr>
                <w:rFonts w:ascii="GHEA Grapalat" w:eastAsia="Times New Roman" w:hAnsi="GHEA Grapalat" w:cs="Times New Roman"/>
                <w:b/>
                <w:bCs/>
                <w:caps/>
                <w:color w:val="333333"/>
                <w:kern w:val="36"/>
                <w:sz w:val="20"/>
                <w:szCs w:val="20"/>
                <w:lang w:eastAsia="ru-RU"/>
              </w:rPr>
              <w:t>Карусель для детской площадки</w:t>
            </w:r>
          </w:p>
          <w:p w:rsidR="00997A42" w:rsidRPr="002D20A8" w:rsidRDefault="00997A42" w:rsidP="0015122E">
            <w:pPr>
              <w:jc w:val="center"/>
              <w:rPr>
                <w:rFonts w:ascii="GHEA Grapalat" w:hAnsi="GHEA Grapalat"/>
                <w:sz w:val="20"/>
                <w:szCs w:val="20"/>
              </w:rPr>
            </w:pPr>
          </w:p>
        </w:tc>
        <w:tc>
          <w:tcPr>
            <w:tcW w:w="5750" w:type="dxa"/>
          </w:tcPr>
          <w:p w:rsidR="00997A42" w:rsidRPr="002D20A8" w:rsidRDefault="001A17E1" w:rsidP="00997A42">
            <w:pPr>
              <w:jc w:val="center"/>
              <w:rPr>
                <w:rFonts w:ascii="GHEA Grapalat" w:hAnsi="GHEA Grapalat"/>
                <w:sz w:val="20"/>
                <w:szCs w:val="20"/>
                <w:lang w:val="hy-AM"/>
              </w:rPr>
            </w:pPr>
            <w:bookmarkStart w:id="0" w:name="_GoBack"/>
            <w:bookmarkEnd w:id="0"/>
            <w:r w:rsidRPr="002D20A8">
              <w:rPr>
                <w:rFonts w:ascii="GHEA Grapalat" w:hAnsi="GHEA Grapalat"/>
                <w:sz w:val="20"/>
                <w:szCs w:val="20"/>
                <w:lang w:val="hy-AM"/>
              </w:rPr>
              <w:t xml:space="preserve"> </w:t>
            </w:r>
            <w:r w:rsidR="00997A42" w:rsidRPr="002D20A8">
              <w:rPr>
                <w:rFonts w:ascii="GHEA Grapalat" w:hAnsi="GHEA Grapalat"/>
                <w:sz w:val="20"/>
                <w:szCs w:val="20"/>
                <w:lang w:val="hy-AM"/>
              </w:rPr>
              <w:t>«Вращающаяся карусель»</w:t>
            </w:r>
          </w:p>
          <w:p w:rsidR="00997A42" w:rsidRPr="002D20A8" w:rsidRDefault="00997A42" w:rsidP="00997A42">
            <w:pPr>
              <w:jc w:val="center"/>
              <w:rPr>
                <w:rFonts w:ascii="GHEA Grapalat" w:hAnsi="GHEA Grapalat"/>
                <w:sz w:val="20"/>
                <w:szCs w:val="20"/>
                <w:lang w:val="hy-AM"/>
              </w:rPr>
            </w:pP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Возрастная группа: 3-12 лет,</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Габариты: не более Ø1500x1500x750мм,</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Зона безопасности: 6000 мм для платформы Ø1500 мм.</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Приложение. Игровое оборудование должно быть рассчитано на одновременное использование 4–6 сидящих детей. Он должен обладать всеми антивандальными характеристиками и быть предназначен для использования в общественных местах.</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Вся поверхность платформы должна быть покрыта нержавеющей сталью (толщиной не менее 1,8 мм), края листового металла должны быть либо закрыты нержавеющим уголком, либо загнуты вниз. Не должно быть никаких ручек, сидений или декоративных элементов, выступающих за поверхность платформы. Платформа должна находиться на высоте не более 100 мм над землей.</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Поручни должны быть изготовлены из стальной трубы (не менее 25 мм) и не должны выступать за плоскость платформы.</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Высота сидений от платформы игрового устройства должна быть не более 300 мм, они должны быть покрыты теплоизоляционным слоем (ПВХ толщиной не менее 5 мм, дерево или эквивалент).</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Вращение будет осуществляться с помощью конического подшипника под воздействием внешних сил.</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Материалы: стальной профиль (толщина стенки не менее 2 мм), лист нержавеющей стали (толщина не менее 1,8 мм), теплоизоляционный слой (ПВХ, дерево или эквивалент), промасленная древесина.</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Краска. Игровое устройство может быть окрашено порошковой краской или двухслойной аэрозольной краской. Краски должны быть предназначены для мест, где постоянно находятся дети.</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Сопроводительные документы. Вместе с игровым устройством необходимо предоставить сертификат на эксплуатацию игрового устройства.</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Установка. Игровое устройство должно состоять из двух частей. Первый — это основание, которое закрепляется в грунте с помощью металлической арматуры (не менее 14 мм) и бетонирования (В200-250). Вторая представляет собой платформу с сиденьями и ручками, прикрепленную к основанию.</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Оборудование детской игровой площадки должно быть изготовлено в соответствии с ГОСТ 34614.5 (ЕН 1176-</w:t>
            </w:r>
            <w:r w:rsidRPr="002D20A8">
              <w:rPr>
                <w:rFonts w:ascii="GHEA Grapalat" w:hAnsi="GHEA Grapalat"/>
                <w:sz w:val="20"/>
                <w:szCs w:val="20"/>
                <w:lang w:val="hy-AM"/>
              </w:rPr>
              <w:lastRenderedPageBreak/>
              <w:t>5:2017). На игровое устройство предоставляется гарантия сроком минимум 1 год. Предпочтительная периодичность технического обслуживания: 1 год.</w:t>
            </w:r>
          </w:p>
          <w:p w:rsidR="00997A42" w:rsidRPr="002D20A8" w:rsidRDefault="00997A42" w:rsidP="00997A42">
            <w:pPr>
              <w:jc w:val="center"/>
              <w:rPr>
                <w:rFonts w:ascii="GHEA Grapalat" w:hAnsi="GHEA Grapalat"/>
                <w:sz w:val="20"/>
                <w:szCs w:val="20"/>
                <w:lang w:val="hy-AM"/>
              </w:rPr>
            </w:pPr>
            <w:r w:rsidRPr="002D20A8">
              <w:rPr>
                <w:rFonts w:ascii="GHEA Grapalat" w:hAnsi="GHEA Grapalat"/>
                <w:sz w:val="20"/>
                <w:szCs w:val="20"/>
                <w:lang w:val="hy-AM"/>
              </w:rPr>
              <w:t>Игрушка не предназначена для детей с ограниченными возможностями. При наличии доступных сидений игровую конструкцию можно использовать для детей с ограниченными возможностями.</w:t>
            </w:r>
          </w:p>
          <w:p w:rsidR="00997A42" w:rsidRPr="002D20A8" w:rsidRDefault="002D20A8" w:rsidP="002D20A8">
            <w:pPr>
              <w:jc w:val="center"/>
              <w:rPr>
                <w:rFonts w:ascii="GHEA Grapalat" w:hAnsi="GHEA Grapalat"/>
                <w:sz w:val="20"/>
                <w:szCs w:val="20"/>
                <w:lang w:val="hy-AM"/>
              </w:rPr>
            </w:pPr>
            <w:r w:rsidRPr="002D20A8">
              <w:rPr>
                <w:rFonts w:ascii="GHEA Grapalat" w:hAnsi="GHEA Grapalat"/>
                <w:sz w:val="20"/>
                <w:szCs w:val="20"/>
                <w:lang w:val="hy-AM"/>
              </w:rPr>
              <w:t>Транспортировка и установка осуществляется за счет поставщика.</w:t>
            </w:r>
          </w:p>
        </w:tc>
      </w:tr>
    </w:tbl>
    <w:p w:rsidR="00997A42" w:rsidRPr="002D20A8" w:rsidRDefault="00997A42" w:rsidP="00997A42">
      <w:pPr>
        <w:rPr>
          <w:rFonts w:ascii="GHEA Grapalat" w:hAnsi="GHEA Grapalat"/>
          <w:sz w:val="20"/>
          <w:szCs w:val="20"/>
        </w:rPr>
      </w:pPr>
    </w:p>
    <w:p w:rsidR="0088258F" w:rsidRPr="002D20A8" w:rsidRDefault="001A17E1">
      <w:pPr>
        <w:rPr>
          <w:rFonts w:ascii="GHEA Grapalat" w:hAnsi="GHEA Grapalat"/>
          <w:sz w:val="20"/>
          <w:szCs w:val="20"/>
        </w:rPr>
      </w:pPr>
    </w:p>
    <w:sectPr w:rsidR="0088258F" w:rsidRPr="002D20A8" w:rsidSect="005257F7">
      <w:pgSz w:w="11906" w:h="16838"/>
      <w:pgMar w:top="810" w:right="85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515"/>
    <w:rsid w:val="001A17E1"/>
    <w:rsid w:val="002D20A8"/>
    <w:rsid w:val="004A3515"/>
    <w:rsid w:val="005257F7"/>
    <w:rsid w:val="005263D0"/>
    <w:rsid w:val="00997A42"/>
    <w:rsid w:val="00A57421"/>
    <w:rsid w:val="00DB5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70626F-9F68-4DB7-8E37-31FD6CF87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A42"/>
  </w:style>
  <w:style w:type="paragraph" w:styleId="Heading1">
    <w:name w:val="heading 1"/>
    <w:basedOn w:val="Normal"/>
    <w:link w:val="Heading1Char"/>
    <w:uiPriority w:val="9"/>
    <w:qFormat/>
    <w:rsid w:val="00DB51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7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B5103"/>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79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704</Words>
  <Characters>4013</Characters>
  <Application>Microsoft Office Word</Application>
  <DocSecurity>0</DocSecurity>
  <Lines>33</Lines>
  <Paragraphs>9</Paragraphs>
  <ScaleCrop>false</ScaleCrop>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2025-06-03T05:13:00Z</dcterms:created>
  <dcterms:modified xsi:type="dcterms:W3CDTF">2025-06-05T05:59:00Z</dcterms:modified>
</cp:coreProperties>
</file>