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42" w:rsidRPr="00B44C9A" w:rsidRDefault="00997A42" w:rsidP="00997A4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B44C9A">
        <w:rPr>
          <w:rFonts w:ascii="GHEA Grapalat" w:hAnsi="GHEA Grapalat"/>
          <w:b/>
          <w:sz w:val="20"/>
          <w:szCs w:val="20"/>
          <w:lang w:val="en-US"/>
        </w:rPr>
        <w:t>ՏԵԽՆԻԿԱԿԱՆ ԲՆՈՒԹԱԳԻՐ</w:t>
      </w: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1558"/>
        <w:gridCol w:w="2369"/>
        <w:gridCol w:w="6603"/>
      </w:tblGrid>
      <w:tr w:rsidR="005257F7" w:rsidRPr="00B44C9A" w:rsidTr="0047657E">
        <w:trPr>
          <w:trHeight w:val="494"/>
        </w:trPr>
        <w:tc>
          <w:tcPr>
            <w:tcW w:w="1558" w:type="dxa"/>
            <w:vAlign w:val="center"/>
          </w:tcPr>
          <w:p w:rsidR="00997A42" w:rsidRPr="00B44C9A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246" w:type="dxa"/>
            <w:vAlign w:val="center"/>
          </w:tcPr>
          <w:p w:rsidR="00997A42" w:rsidRPr="00B44C9A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ԱՆՎԱՆՈՒՄ</w:t>
            </w:r>
          </w:p>
        </w:tc>
        <w:tc>
          <w:tcPr>
            <w:tcW w:w="6726" w:type="dxa"/>
            <w:vAlign w:val="center"/>
          </w:tcPr>
          <w:p w:rsidR="00997A42" w:rsidRPr="00B44C9A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47657E" w:rsidRPr="005031F0" w:rsidTr="0047657E">
        <w:tc>
          <w:tcPr>
            <w:tcW w:w="1558" w:type="dxa"/>
            <w:vAlign w:val="center"/>
          </w:tcPr>
          <w:p w:rsidR="0047657E" w:rsidRPr="00B44C9A" w:rsidRDefault="0047657E" w:rsidP="0047657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246" w:type="dxa"/>
            <w:vAlign w:val="center"/>
          </w:tcPr>
          <w:p w:rsidR="0047657E" w:rsidRPr="00B44C9A" w:rsidRDefault="006D7E7B" w:rsidP="0047657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Մանկական խաղահրապարակների </w:t>
            </w:r>
            <w:r w:rsidRPr="00B60BA2">
              <w:rPr>
                <w:rFonts w:ascii="GHEA Grapalat" w:hAnsi="GHEA Grapalat" w:cs="Arial"/>
                <w:sz w:val="20"/>
                <w:szCs w:val="20"/>
                <w:lang w:val="hy-AM"/>
              </w:rPr>
              <w:t>ճոճանակ</w:t>
            </w:r>
            <w:r>
              <w:rPr>
                <w:rFonts w:ascii="GHEA Grapalat" w:hAnsi="GHEA Grapalat" w:cs="Arial"/>
                <w:sz w:val="20"/>
                <w:szCs w:val="20"/>
              </w:rPr>
              <w:t>ներ</w:t>
            </w:r>
          </w:p>
        </w:tc>
        <w:tc>
          <w:tcPr>
            <w:tcW w:w="6726" w:type="dxa"/>
          </w:tcPr>
          <w:p w:rsidR="0047657E" w:rsidRPr="00B44C9A" w:rsidRDefault="0047657E" w:rsidP="0047657E">
            <w:pPr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«Շղթաներով մանկապարտեզային ճոճանակ»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>Տարիքային խումբ՝ 3-8 տարեկան,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>Չափսեր՝ ոչ ավելի քան 2500x(500-1500)x1800մմ,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Ապահովության գոտի՝ 4500x7000մմ։ 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Կիրառություն։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Խաղասարքը նախատեսված պետք է լինի 2 երեխայի միաժամանակյա նստած օգագործման համար։ Այն պետք է ունենա հակավանդալային բոլոր հատկանիշները և նախատեսված լինի հասարակական վայրում օգտագործման համար։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Նստատեղեր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պետք է կախված լինեն մետաղական շղթայով (առնվազն 6մմ) կախիչից, որի բարձրությունը չպետք է գերազանցի 1800մմ-ը։ Նստատեղերը կարող են պատրաստված լինել ռետինից, խիտ պլաստիկից կամ մետաղից։ Վերջինս ծածկված պետք է լինի ջերմոմեկուսիչ շերտով (ПВХ, փայտ կամ համարժեք)։ Նստատեղը պետք է ունենա հենակ և դիմացից սահմանափակիչ շղթա։ Սահմանափակիչ շղթան պետք է ունենա ջերմոմեկուսիչ շերտ (առնվազն 1,2 մմ)։ Նստատեղը գետնից պետք է կախված լինի 350-450մմ բարձրության վրա։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Նյութեր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՝ պողպատե պրոֆիլ (առնվազն 50x50x2մմ կամ համարժեք), մետաղական շղթա (առնվազն 6մմ)։ 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Ներկվածք։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Խաղասարքը կարող է և փոշեներկված լինել, և ներկված լինել երկշերտ փչվածքի տարբերակով։ Ներկերը պետք է նախատեսված լինեն երեխաների անընդհատ կացության վայրերի համար։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Ուղեկցվող փաստաթղթեր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>։ Խաղասարքի հետ պետք է տրվի խաղասարքի շահագործման անձնագիր։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Տեղադրում։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Խաղասարքը պետք է բաղկացած լինի երեք մասից՝ երկու հենասյուն և շղթաներով նստատեղերի կախիչ։ Հենասյուները մետաղական ամրանների (առնվազն 14մմ) և բետոնացման (B200-250) միջոցով ֆիքսվում է գետնի մեջ 400մմ խորությամբ։ Կախիչն ամրացվում է հենասյուներին։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Խաղասարքը պետք է պատրաստված լինի համաձայն </w:t>
            </w: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ԳՈՍՏ 34614.5 (EN 1176-5:2017)-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>ի։ Խաղասարքին տրվում է առնվազն 1 տարվա երաշխիք։ Տեխնիկական սպասարկման նախընտրելի հաճախականությունը՝ 1 տարի։</w:t>
            </w:r>
          </w:p>
          <w:p w:rsidR="0047657E" w:rsidRPr="00B44C9A" w:rsidRDefault="0047657E" w:rsidP="0047657E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Խաղասարքը նախատեսված չէ </w:t>
            </w:r>
            <w:r w:rsidRPr="00B44C9A">
              <w:rPr>
                <w:rFonts w:ascii="GHEA Grapalat" w:hAnsi="GHEA Grapalat" w:cstheme="minorHAnsi"/>
                <w:b/>
                <w:bCs/>
                <w:sz w:val="20"/>
                <w:szCs w:val="20"/>
                <w:lang w:val="hy-AM"/>
              </w:rPr>
              <w:t>սահմանափակ կարողություններ</w:t>
            </w:r>
            <w:r w:rsidRPr="00B44C9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ունեցող երեխաների համար։</w:t>
            </w:r>
          </w:p>
          <w:p w:rsidR="0047657E" w:rsidRPr="00B44C9A" w:rsidRDefault="00B44C9A" w:rsidP="00B44C9A">
            <w:pPr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44C9A">
              <w:rPr>
                <w:rFonts w:ascii="GHEA Grapalat" w:eastAsia="Times New Roman" w:hAnsi="GHEA Grapalat" w:cstheme="minorHAnsi"/>
                <w:sz w:val="20"/>
                <w:szCs w:val="20"/>
                <w:lang w:val="hy-AM"/>
              </w:rPr>
              <w:t>Ապրանքի տեղափոխումը և տեղադրումը կատարվում է մատակարարի հաշվին:</w:t>
            </w:r>
          </w:p>
        </w:tc>
      </w:tr>
    </w:tbl>
    <w:p w:rsidR="00997A42" w:rsidRPr="00B44C9A" w:rsidRDefault="00997A42" w:rsidP="00997A42">
      <w:pPr>
        <w:rPr>
          <w:rFonts w:ascii="GHEA Grapalat" w:hAnsi="GHEA Grapalat"/>
          <w:color w:val="FF0000"/>
          <w:sz w:val="20"/>
          <w:szCs w:val="20"/>
          <w:lang w:val="pt-BR"/>
        </w:rPr>
      </w:pPr>
      <w:r w:rsidRPr="00B44C9A">
        <w:rPr>
          <w:rFonts w:ascii="GHEA Grapalat" w:hAnsi="GHEA Grapalat"/>
          <w:color w:val="FF0000"/>
          <w:sz w:val="20"/>
          <w:szCs w:val="20"/>
          <w:lang w:val="hy-AM"/>
        </w:rPr>
        <w:t>Հարցերի դեպքում զանգահարել հետևյալ հեռախոսահամարով՝ 093-</w:t>
      </w:r>
      <w:r w:rsidRPr="00B44C9A">
        <w:rPr>
          <w:rFonts w:ascii="GHEA Grapalat" w:hAnsi="GHEA Grapalat"/>
          <w:color w:val="FF0000"/>
          <w:sz w:val="20"/>
          <w:szCs w:val="20"/>
          <w:lang w:val="pt-BR"/>
        </w:rPr>
        <w:t>57-97-31</w:t>
      </w:r>
    </w:p>
    <w:p w:rsidR="00997A42" w:rsidRPr="00B44C9A" w:rsidRDefault="00997A42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B44C9A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B44C9A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B44C9A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5257F7" w:rsidRPr="00B44C9A" w:rsidRDefault="005257F7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47657E" w:rsidRPr="00B44C9A" w:rsidRDefault="0047657E" w:rsidP="00997A42">
      <w:pPr>
        <w:rPr>
          <w:rFonts w:ascii="GHEA Grapalat" w:hAnsi="GHEA Grapalat"/>
          <w:b/>
          <w:sz w:val="20"/>
          <w:szCs w:val="20"/>
          <w:lang w:val="pt-BR"/>
        </w:rPr>
      </w:pPr>
    </w:p>
    <w:p w:rsidR="00997A42" w:rsidRPr="00B44C9A" w:rsidRDefault="00997A42" w:rsidP="00997A4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B44C9A">
        <w:rPr>
          <w:rFonts w:ascii="GHEA Grapalat" w:hAnsi="GHEA Grapalat"/>
          <w:b/>
          <w:sz w:val="20"/>
          <w:szCs w:val="20"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997A42" w:rsidRPr="00B44C9A" w:rsidTr="0015122E">
        <w:tc>
          <w:tcPr>
            <w:tcW w:w="1522" w:type="dxa"/>
          </w:tcPr>
          <w:p w:rsidR="00997A42" w:rsidRPr="00B44C9A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lastRenderedPageBreak/>
              <w:t>НОМЕР ЛОТА</w:t>
            </w:r>
          </w:p>
        </w:tc>
        <w:tc>
          <w:tcPr>
            <w:tcW w:w="2438" w:type="dxa"/>
          </w:tcPr>
          <w:p w:rsidR="00997A42" w:rsidRPr="00B44C9A" w:rsidRDefault="00997A42" w:rsidP="00997A4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НАИМЕНОВАНИЕ </w:t>
            </w:r>
          </w:p>
        </w:tc>
        <w:tc>
          <w:tcPr>
            <w:tcW w:w="5750" w:type="dxa"/>
          </w:tcPr>
          <w:p w:rsidR="00997A42" w:rsidRPr="00B44C9A" w:rsidRDefault="00997A42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997A42" w:rsidRPr="00B44C9A" w:rsidTr="0015122E">
        <w:tc>
          <w:tcPr>
            <w:tcW w:w="1522" w:type="dxa"/>
            <w:vAlign w:val="center"/>
          </w:tcPr>
          <w:p w:rsidR="00997A42" w:rsidRPr="00B44C9A" w:rsidRDefault="0047657E" w:rsidP="001512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44C9A">
              <w:rPr>
                <w:rFonts w:ascii="GHEA Grapalat" w:hAnsi="GHEA Grapalat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438" w:type="dxa"/>
            <w:vAlign w:val="center"/>
          </w:tcPr>
          <w:p w:rsidR="00997A42" w:rsidRPr="00B44C9A" w:rsidRDefault="006D7E7B" w:rsidP="0015122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7E7B">
              <w:rPr>
                <w:rFonts w:ascii="GHEA Grapalat" w:hAnsi="GHEA Grapalat"/>
                <w:sz w:val="20"/>
                <w:szCs w:val="20"/>
              </w:rPr>
              <w:t>Детские игровые качели</w:t>
            </w:r>
          </w:p>
        </w:tc>
        <w:tc>
          <w:tcPr>
            <w:tcW w:w="5750" w:type="dxa"/>
          </w:tcPr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GoBack"/>
            <w:bookmarkEnd w:id="0"/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"Детские качели с цепями"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Возрастная группа: 3-8 лет,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Габариты: не более 2500х(500-1500)х1800мм,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Зона безопасности: 4500x7000 мм.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Приложение. Игровое оборудование должно быть рассчитано на одновременное использование двумя детьми, сидящими рядом. Он должен обладать всеми антивандальными характеристиками и быть предназначен для использования в общественных местах.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Сиденья должны быть подвешены на металлической цепи (толщиной не менее 6 мм) на высоте не более 1800 мм. Сиденья могут быть изготовлены из резины, толстого пластика или металла. Последний должен быть покрыт теплоизоляционным слоем (ПВХ, дерево или эквивалент). Сиденье должно иметь спинку и ограничительную цепь спереди. Ограничительная цепь должна иметь теплоизоляционный слой (не менее 1,2 мм). Сиденье должно быть подвешено к земле на высоте 350–450 мм.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Материалы: стальной профиль (не менее 50x50x2 мм или эквивалент), металлическая цепь (не менее 6 мм).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Краска. Игровое устройство может быть окрашено порошковой краской или двухслойной аэрозольной краской. Краски должны быть предназначены для мест, где постоянно находятся дети.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Сопроводительные документы. Вместе с игровым устройством необходимо предоставить сертификат на эксплуатацию игрового устройства.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Установка. Игровое устройство должно состоять из трех частей: двух опорных стоек и подвески для сиденья с цепями. Столбы закрепляются в грунте на глубину 400 мм с помощью металлической арматуры (не менее 14 мм) и бетонирования (В200-250). Вешалка крепится к столбам.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Оборудование детской игровой площадки должно быть изготовлено в соответствии с ГОСТ 34614.5 (ЕН 1176-5:2017). На игровое устройство предоставляется гарантия сроком минимум 1 год. Предпочтительная периодичность технического обслуживания: 1 год.</w:t>
            </w:r>
          </w:p>
          <w:p w:rsidR="0047657E" w:rsidRPr="00B44C9A" w:rsidRDefault="0047657E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Игрушка не предназначена для детей с ограниченными возможностями.</w:t>
            </w:r>
          </w:p>
          <w:p w:rsidR="00997A42" w:rsidRPr="00B44C9A" w:rsidRDefault="00B44C9A" w:rsidP="004765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4C9A">
              <w:rPr>
                <w:rFonts w:ascii="GHEA Grapalat" w:hAnsi="GHEA Grapalat"/>
                <w:sz w:val="20"/>
                <w:szCs w:val="20"/>
                <w:lang w:val="hy-AM"/>
              </w:rPr>
              <w:t>Транспортировка и установка осуществляется за счет поставщика.</w:t>
            </w:r>
          </w:p>
        </w:tc>
      </w:tr>
    </w:tbl>
    <w:p w:rsidR="00997A42" w:rsidRPr="00B44C9A" w:rsidRDefault="00997A42" w:rsidP="00997A42">
      <w:pPr>
        <w:rPr>
          <w:rFonts w:ascii="GHEA Grapalat" w:hAnsi="GHEA Grapalat"/>
          <w:sz w:val="20"/>
          <w:szCs w:val="20"/>
        </w:rPr>
      </w:pPr>
    </w:p>
    <w:p w:rsidR="0088258F" w:rsidRPr="00B44C9A" w:rsidRDefault="005031F0">
      <w:pPr>
        <w:rPr>
          <w:rFonts w:ascii="GHEA Grapalat" w:hAnsi="GHEA Grapalat"/>
          <w:sz w:val="20"/>
          <w:szCs w:val="20"/>
        </w:rPr>
      </w:pPr>
    </w:p>
    <w:sectPr w:rsidR="0088258F" w:rsidRPr="00B44C9A" w:rsidSect="005257F7">
      <w:pgSz w:w="11906" w:h="16838"/>
      <w:pgMar w:top="810" w:right="85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15"/>
    <w:rsid w:val="0047657E"/>
    <w:rsid w:val="004A3515"/>
    <w:rsid w:val="005031F0"/>
    <w:rsid w:val="005257F7"/>
    <w:rsid w:val="005263D0"/>
    <w:rsid w:val="006D7E7B"/>
    <w:rsid w:val="00997A42"/>
    <w:rsid w:val="00A57421"/>
    <w:rsid w:val="00B4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0626F-9F68-4DB7-8E37-31FD6CF8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7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2025-06-03T05:13:00Z</dcterms:created>
  <dcterms:modified xsi:type="dcterms:W3CDTF">2025-06-05T06:00:00Z</dcterms:modified>
</cp:coreProperties>
</file>