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ՄԲԿ-ԷԱԱՊՁԲ 2025-29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ՄԱՐՏՈՒՆՈՒ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Մարտունի, Գետափնյա 2/17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 для нужд ЗАО «Медицинский центр Мартуни»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Հակոբ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martunubkfinodel@mail.ru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094043396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ՄԱՐՏՈՒՆՈՒ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ՄԲԿ-ԷԱԱՊՁԲ 2025-29</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ՄԱՐՏՈՒՆՈՒ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ՄԱՐՏՈՒՆՈՒ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 для нужд ЗАО «Медицинский центр Мартуни»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 для нужд ЗАО «Медицинский центр Мартуни»</w:t>
      </w:r>
      <w:r>
        <w:rPr>
          <w:rFonts w:ascii="Calibri" w:hAnsi="Calibri" w:cstheme="minorHAnsi"/>
          <w:b/>
          <w:lang w:val="ru-RU"/>
        </w:rPr>
        <w:t xml:space="preserve">ДЛЯ НУЖД  </w:t>
      </w:r>
      <w:r>
        <w:rPr>
          <w:rFonts w:ascii="Calibri" w:hAnsi="Calibri" w:cstheme="minorHAnsi"/>
          <w:b/>
          <w:sz w:val="24"/>
          <w:szCs w:val="24"/>
          <w:lang w:val="af-ZA"/>
        </w:rPr>
        <w:t>ՄԱՐՏՈՒՆՈՒ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ՄԲԿ-ԷԱԱՊՁԲ 2025-29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martunubkfinodel@mail.ru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 для нужд ЗАО «Медицинский центр Мартуни»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ՄԲԿ-ԷԱԱՊՁԲ 2025-29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ՄԲԿ-ԷԱԱՊՁԲ 2025-29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Պարատհորմոն լրակազմ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