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2025.06.12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ԲԿԳԿ-ԷԱՃԱՊՁԲ-25/43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Комитет по высшему образованию и науке</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ул. Братьев Орбели 22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Анаит Аракелян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a.arakelyan@promotion.am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98389689 (ներքին՝05)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Комитет по высшему образованию и науке</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ԲԿԳԿ-ԷԱՃԱՊՁԲ-25/43</w:t>
      </w:r>
      <w:r>
        <w:rPr>
          <w:rFonts w:ascii="Calibri" w:hAnsi="Calibri" w:cstheme="minorHAnsi"/>
          <w:i/>
        </w:rPr>
        <w:br/>
      </w:r>
      <w:r>
        <w:rPr>
          <w:rFonts w:ascii="Calibri" w:hAnsi="Calibri" w:cstheme="minorHAnsi"/>
          <w:szCs w:val="20"/>
          <w:lang w:val="af-ZA"/>
        </w:rPr>
        <w:t>2025.06.12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Комитет по высшему образованию и науке</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Комитет по высшему образованию и науке</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w:t>
      </w:r>
      <w:r>
        <w:rPr>
          <w:rFonts w:ascii="Calibri" w:hAnsi="Calibri" w:cstheme="minorHAnsi"/>
          <w:b/>
          <w:lang w:val="ru-RU"/>
        </w:rPr>
        <w:t xml:space="preserve">ДЛЯ НУЖД  </w:t>
      </w:r>
      <w:r>
        <w:rPr>
          <w:rFonts w:ascii="Calibri" w:hAnsi="Calibri" w:cstheme="minorHAnsi"/>
          <w:b/>
          <w:sz w:val="24"/>
          <w:szCs w:val="24"/>
          <w:lang w:val="af-ZA"/>
        </w:rPr>
        <w:t>Комитет по высшему образованию и науке</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ԲԿԳԿ-ԷԱՃԱՊՁԲ-25/43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a.arakelyan@promotion.am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Инвертированный микроскоп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Флуоресцентная система для имитации клеток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383.25</w:t>
      </w:r>
      <w:r>
        <w:rPr>
          <w:rFonts w:ascii="Calibri" w:hAnsi="Calibri" w:cstheme="minorHAnsi"/>
          <w:szCs w:val="22"/>
        </w:rPr>
        <w:t xml:space="preserve"> драмом, российский рубль </w:t>
      </w:r>
      <w:r>
        <w:rPr>
          <w:rFonts w:ascii="Calibri" w:hAnsi="Calibri" w:cstheme="minorHAnsi"/>
          <w:lang w:val="af-ZA"/>
        </w:rPr>
        <w:t>4.8642</w:t>
      </w:r>
      <w:r>
        <w:rPr>
          <w:rFonts w:ascii="Calibri" w:hAnsi="Calibri" w:cstheme="minorHAnsi"/>
          <w:szCs w:val="22"/>
        </w:rPr>
        <w:t xml:space="preserve"> драмом, евро </w:t>
      </w:r>
      <w:r>
        <w:rPr>
          <w:rFonts w:ascii="Calibri" w:hAnsi="Calibri" w:cstheme="minorHAnsi"/>
          <w:lang w:val="af-ZA"/>
        </w:rPr>
        <w:t>438.36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2025.06.26.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ԲԿԳԿ-ԷԱՃԱՊՁԲ-25/43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Комитет по высшему образованию и науке</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"ԲԿԳԿ-ԷԱՃԱՊՁԲ-25/43"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 по высшему образованию и науке*(далее — Заказчик) процедуре закупок под кодом ԲԿԳԿ-ԷԱՃԱՊՁԲ-25/43*.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по высшему образованию и науке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- 02704199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- 900011045565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"ԲԿԳԿ-ԷԱՃԱՊՁԲ-25/43"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 по высшему образованию и науке*(далее — Заказчик) процедуре закупок под кодом ԲԿԳԿ-ԷԱՃԱՊՁԲ-25/43*.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по высшему образованию и науке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- 02704199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- 900011045565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Приложение 4.2</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под кодом ԲԿԳԿ-ԷԱՃԱՊՁԲ-25/43*</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к приглашение на электронный аукцион</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ГАРАНТИЯ N________</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(обеспечение предоплаты)</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w:t>
      </w:r>
      <w:r w:rsidR="002848B6" w:rsidRPr="002848B6">
        <w:rPr>
          <w:rFonts w:cstheme="minorHAnsi"/>
          <w:color w:val="000000" w:themeColor="text1"/>
        </w:rPr>
        <w:t>предусмотренных договором    N_____________________________________________ заключаемым между</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номер заключаемого договора</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Комитет по высшему образованию и науке (далее-бенефициар)  и ______________________________________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наименование отобранного участника</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(далее-принципал).</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2.  По гарантии_____________________________________________________</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наименование банка выдающего гарантию</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сумма в цифрах и прописью</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расчетный счет</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3. Настоящая гарантия является безотзывной.</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5. Гарантия действует с момента выпуска и в силе со дня вступления в силу договора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N____________________________заключенного между бенефициаром и принципалом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номер заключаемого договора</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1) копии заключенного договора N_____________________, включая</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номер заключаемого договара</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копии внесенных  в него изменений, дополнительных соглашений,</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0" w:history="1">
        <w:r w:rsidR="000829CD" w:rsidRPr="00E41FA3">
          <w:rPr>
            <w:rStyle w:val="Hyperlink"/>
            <w:rFonts w:cstheme="minorHAnsi"/>
          </w:rPr>
          <w:t>www.procurement.am</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8. Лицо, выдающее гарантию, отклоняет требование бенефициара, если:</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1) требование или прилагаемые документы не соответствуют условиям настоящей гарантии,</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2) требование представлено по истечении срока, установленного гарантией.</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10. К настоящей гарантии применяются соответствующие положения Гражданского кодекса Республики Армения</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ԲԿԳԿ-ԷԱՃԱՊՁԲ-25/43</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Руководитель исполнительного органа_______________________</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__________________________________</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число, месяц, год</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*Заполняется секретарем Комиссии до опубликования приглашения в бюллетене</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ԲԿԳԿ-ԷԱՃԱՊՁԲ-25/43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Инвертированный микроскоп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Инвертированный микроскоп с яркопольным, фазово-контрастным режимами, флуоресценцией и камерой
Имеет режимы: яркое поле, фазовый контраст, эмбосс-контраст, эпи-флуоресценция.
Освещение:
• Диаскопическое освещение: белый LED.
• Эпископическое освещение: LED, возможно дополнение до 3 различных флуоресцентных LED систем.
Оптическая система:
• Тубус наклонен на 45°, тип Siedentopf, с портом для камеры.
Комплектация:
• Основной корпус с эпи-флуоресцентной системой, встроенной диаскопической подсветкой и LED освещением.
• Окуляры 10×, W10×, с диоптрийной регулировкой (2 шт.).
• Защитные накладки для окуляров.
• Механический предметный столик с ручкой, перемещение не менее 126×78 мм.
• Универсальный держатель для предметных стекол, планшетов, чашек Петри (как минимум 35–65 мм).
Фазово-контрастная система:
• Фазово-контрастная система: все линзы должны быть без хрома и иметь настройку на бесконечность;  Объектив фазового контраста CFI Achromat 10x – изготовлен с использованием аподизированной технологии темного низкого фазового контраста, объектив фазового контраста CFI Achromat 20x с большим рабочим расстоянием, изготовлен с использованием аподизированной технологии темного низкого фазового контраста;  Объектив CFI Achromat 40x, изготовленный с использованием аподизированной темной низкофазово-контрастной технологии; Иммерсионный объектив CFI E Plan Achromat 100x..
Иммерсионное масло (не менее 8 cc).
• C-mount адаптер для камеры.
• Цветная камера как минимум 5,9 МП.
• Комплект кабелей.
Флуоресцентная система:
• C-LEDLH 385 нм LED; допустимое отколнение – до 10%
• C-LEDLH 470 нм LED; допустимое отколнение – до 10%
• C-LEDFL560 LED; допустимое отколнение – до 10%
Система флуоресцентных фильтров:
• LED385 CUBE FL EX390/38 DM420 EM475/90; допустимое отколнение – до 10%
• C-LED470 Epi-FL Filter Cube EX 470/40, DM 500, EM 534/55; допустимое отколнение – до 10%
• C-LED560 Epi-FL Filterblock EX 550/50, DM 600, EM 630/75; допустимое отколнение – до 10%
Оптическая система с бесконечной коррекцией
Методы наблюдения:
• Яркое поле (BF).
• Аподизированный фазовый контраст (APC).
• Фазовый контраст (Ph).
• Эмбосс-контраст (Emboss).
• Эпи-флуоресценция (FL).
Освещение:
• Диаскопическое освещение: белый LED с встроенной линзой.
• Эпископическое освещение: встроенная линза.
• Срок службы LED: не менее 60 000 часов.
• Регулировка яркости: плавная.
Револьверная насадка для объективов:
• Вместимость: не менее 5 позиций.
Окуляры:
• Угол наклона: 45°.
• Межзрачковое расстояние: не менее 50–75 мм.
• Увеличение окуляров: 10× (поле зрения – не менее 22 мм).
Конденсор:
• Тип: конденсор с увеличенным рабочим расстоянием.
• Числовая апертура (NA): 0,3.
• Рабочее расстояние: 75 мм.
Флуоресцентная система:
• LED модули: UV (385 нм), синий (470 нм), оранжевый (560 нм); допустимое отклонение длины волны – не более 10%
• Револьвер фильтров: как мимимум 3 позиции, дополнительные позиции для наблюдения в ярком поле.
Совместимость с камерой:
• Соотношение светового потока между окуляром и портом: 100/0 или 0/100.
Цифровая камера:
• Сенсор: цветной CMOS.
• Размер: 1/1,8 дюйма (6,91 × 4,92 мм); допустимое отклонение – не более 10%
• Разрешение: не менее 5,9 мегапикселя.
• Максимальное разрешение: не менее 2880 × 2048 пикселей.
Чувствительность (ISO):
• Стандартное значение: эквивалентно ISO50.
• Диапазон настройки: не менее от ISO50 до ISO3200.
Интерфейсы:
• USB 3.0: подключение к компьютеру или управляющему блоку.
• Внешний триггер: должен иметь.
Условия эксплуатации:
• Температура: не менее 0°C – 40°C.
• Влажность: до 60% RH (без конденсации).
Программное обеспечение
Основные функции:
• Захват многомерных изображений.
• Сшивка больших изображений (Stitching).
• Отслеживание и классификация объектов.
• Биологический анализ.
• FRET-анализ кальция.
• HDR-изображения.
• Редактор JOBS для автоматизации.
Интеграция с базами данных:
• Возможность интеграции баз данных для архивирования, поиска и анализа многомерных изображений.
Программное обеспечение поддерживает интеграцию широкого спектра устройств, контролируя микроскопы, камеры и другие приборы, обеспечивая комплексное решение для исследовательских задач.
Установка оборудования и обучение персонала проводится сертифицированными специалистами производителя. Участник должен предоставить доверенность от производителя.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Флуоресцентная система для имитации клеток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Флуоресцентная система имиджинга клеток
Работает на системе Android
Встроенный инвертированный микроскоп
Видимый свет и не менее 3 флуоресцентных канала:
• Синий: UV LED
• Зеленый: синий LED
• Красный: зеленый LED
• Видимый: множественные зеленые LED
• Встроенная монохроматическая камера: 12-битная CMOS, не менее 5 МП
• Встроенная память не менее 16 ГБ
• Совместимость с:
• флаконами для культивирования клеток
• многолуночными микропланшетами (6-, 12-, 24-, 48-, 96-, 384-луночные)
• чашками Петри (35 мм, 60 мм, 100 мм)
• предметными стеклами
Имиджер клеток предназначен для получения изображений клеток и микрообъектов в видимом свете и с использованием флуоресцентных красителей.
Каналы получения изображений – минимум 4 канала, из них минимум 3 флуоресцентных и 1 канал видимого света.
Синий канал – наличие, возбуждение 355/40 нм, эмиссия 433/36 нм, допустимое отклонение – не более 5%
Зеленый канал – наличие, возбуждение 480/17 нм, эмиссия 517/23 нм, допустимое отклонение – не более 5%
Красный канал – наличие, возбуждение 556/20 нм, эмиссия 615/61 нм, допустимое отклонение – не более 5%
Источники света:
не менее Три LED: ультрафиолетовый LED для синего канала, синий LED для зеленого канала, зеленый LED для красного канала. Множественные зеленые LED для канала видимого света.
Экран:
• Наличие, жидкокристаллический (LCD), диагональ минимум 26 см, антибликовое покрытие и защита от отпечатков пальцев.
• Сенсорный экран: наличие, возможность управления через сенсорную панель (touchscreen).
• Угол наклона сенсорного экрана: не менее 80-180°.
Фокусировочный механизм
• Наличие, грубая и точная регулировка вручную.
Камера
• Наличие, монохроматическая, не менее 5 МП, 12-битный CMOS ADC, минимум 4096 уровней яркости на пиксель.
Возможность комбинирования изображений
• Наличие, совмещение каналов синего, зеленого, красного и видимого света.
Возможность сохранения изображений
• Наличие.
Форматы файлов сохраненных изображений
• Минимум 3 формата: JPEG, TIFF, RAW.
Объем встроенной памяти
• Минимум 16 ГБ, возможность хранения минимум 2500 изображений в формате JPEG, 1500 изображений в формате TIFF или 400 изображений в формате RAW.
Возможность экспорта изображений
• Наличие, через 2 встроенных USB-порта.
Объектив
• Наличие, минимум 20-кратное увеличение.
Коэффициент увеличения
• Наличие, на экране минимум 175-кратное увеличение, цифровое увеличение минимум 700 раз.
Разрешающая способность изображения
• Не хуже 1 мкм.
Числовая апертура
• 0,40.
Область обзора, кв. мм
• Минимум 0,70.
Моторизованный предметный столик
• Наличие, движение по осям X-Y минимум в пределах 6 мм, управление через сенсорный экран.
Контроль движения моторизованного столика через сенсорный экран
• Наличие.
Возможность работы без дополнительных устройств
• Наличие.
Совместимость с различными емкостями для культивирования клеток
• Флаконы: T25, T75, T225.
• Микропланшеты: 6-, 12-, 24-, 48-, 96-, 384-луночные.
• Чашки Петри: 35, 60, 100 мм.
• Предметные стекла и слайды.
Встроенное программное обеспечение
• Наличие.
Возможность работы без подключения к компьютеру
• Наличие, операционная система Android.
Габариты (см)
• Максимально 33×32×30.
Вес (кг)
• Максимально 9.
Установка оборудования и обучение персонала
• Производится сертифицированными специалистами производителя.
Участник должен предоставить доверенность от производителя.
Гарантия: 1 год.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Институт биохимии им. Г. Буниатяна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вступает в силу после подписания, и поставка будет осуществлена в течение 4 месяцев, за исключением случаев, когда поставщик товара соглашается выполнить поставку раньше установленного срока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Институт биохимии им. Г. Буниатяна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вступает в силу после подписания, и поставка будет осуществлена в течение 4 месяцев, за исключением случаев, когда поставщик товара соглашается выполнить поставку раньше установленного срока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Инвертированный микроскоп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Флуоресцентная система для имитации клеток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