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ՔԱՂԱՔԱՊԵՏԱՐԱՆԻ ԿԱՐԻՔՆԵՐԻ ՀԱՄԱՐ «ԿՄՀՔ-ԷԱՃԱՊՁԲ-25/40» ԾԱԾԿԱԳՐՈՎ ՌԵՏԻՆԵ ԱՐՀԵՍՏԱԿԱՆ ԱՆՀԱՐԹՈՒԹՅՈՒՆՆԵՐԻ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033456345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haki.95@bk.ru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 ՀՐԱԶԴԱՆԻ ՔԱՂԱՔԱՊԵՏԱՐԱՆԻ ԿԱՐԻՔՆԵՐԻ ՀԱՄԱՐ «ԿՄՀՔ-ԷԱՃԱՊՁԲ-25/40» ԾԱԾԿԱԳՐՈՎ ՌԵՏԻՆԵ ԱՐՀԵՍՏԱԿԱՆ ԱՆՀԱՐԹՈՒԹՅՈՒՆՆԵՐԻ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 ՀՐԱԶԴԱՆԻ ՔԱՂԱՔԱՊԵՏԱՐԱՆԻ ԿԱՐԻՔՆԵՐԻ ՀԱՄԱՐ «ԿՄՀՔ-ԷԱՃԱՊՁԲ-25/40» ԾԱԾԿԱԳՐՈՎ ՌԵՏԻՆԵ ԱՐՀԵՍՏԱԿԱՆ ԱՆՀԱՐԹՈՒԹՅՈՒՆՆԵՐԻ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haki.95@bk.ru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 ՀՐԱԶԴԱՆԻ ՔԱՂԱՔԱՊԵՏԱՐԱՆԻ ԿԱՐԻՔՆԵՐԻ ՀԱՄԱՐ «ԿՄՀՔ-ԷԱՃԱՊՁԲ-25/40» ԾԱԾԿԱԳՐՈՎ ՌԵՏԻՆԵ ԱՐՀԵՍՏԱԿԱՆ ԱՆՀԱՐԹՈՒԹՅՈՒՆՆԵՐԻ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արգելապատնեշներ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ԿՄՀՔ-ԷԱՃԱՊՁԲ-25/40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ԿՄՀՔ-ԷԱՃԱՊՁԲ-25/40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արհեստական անհարթություն՝ նախատեսված 30կմ/ժ առավելագույն  թույլատրելի արագությամբ երթևեկող ճանապարհների համար:
Ընդ երկ.՝ 350 մ՝
 ներառյալ եզրային տարրերը:
Հիմնական և եզրային տարրերը՝ մեկ մասից:
Լուսաանդրադարձիչ ժապավեններ՝ ընհանուր մակերեսի 15% - ից ավել:
Հիմնական տարրերի չափերը՝  
L =նվազագույնը` 300 մմ, առավելագույնը 500 մմ                                             H =  50 մմ
Եզրային տարրերի քանակը՝ 170 հատ (85 զույգ)
Լրակազմի մեջ պետք է մտնեն՝ հիմնական և եզրային տարրերը, ամրացման տարրերը, արտադրանքի անձնագիրը, մոնտաժման հրահանգը, լուսաանդրադարձիչ ժապավենը
Երաշխիքային ժամկեը՝ առնվազն 12 ամիս
Ապրանքը պետք է լինի նոր և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