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8D78CA" w:rsidRPr="00966E76" w14:paraId="453A9B91" w14:textId="77777777" w:rsidTr="0029156E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745E77" w14:textId="77777777" w:rsidR="008D78CA" w:rsidRPr="00966E76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658E82D" w14:textId="3E94E3A9" w:rsidR="008D78CA" w:rsidRPr="00966E76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44161130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70EE934C" w:rsidR="008D78CA" w:rsidRPr="00966E76" w:rsidRDefault="008D78CA" w:rsidP="008D78C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ջրատար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խողովակաշարեր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1739C20" w14:textId="563ECBC7" w:rsidR="008D78CA" w:rsidRPr="00966E76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մետր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B3958A9" w14:textId="40779993" w:rsidR="008D78CA" w:rsidRPr="00966E76" w:rsidRDefault="008D78CA" w:rsidP="008D78C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3200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C2B13D1" w14:textId="307E70FA" w:rsidR="008D78CA" w:rsidRPr="00966E76" w:rsidRDefault="008D78CA" w:rsidP="008D78C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Ջրատար խողովակաշարեր նախատեսված կաթիլային ոռոգման համար: Խողովակի ն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երքին տրամագիծ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13.6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ա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ռավելագույն աշխատանքային ճնշում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6 բար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Պոլիէթիլենային PE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խողովակի արտաքին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տրամագիծ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 ոչ պակաս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16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Խողովակի կիրառման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առը ջրամատակարարման համար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ողովակի լայնական հատույթ՝ Կլոր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Խողովակի նյութի տեսակ՝ Պոլիէթիլեն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7152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PE 80 տեսակ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ողովակի պատի հաստություն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ը՝ ոչ պակաս</w:t>
            </w:r>
            <w:r w:rsidRPr="0099610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1.2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սերտիֆիկատը՝ համապատասխան նշված բնութագրի: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A3DE63" w14:textId="71BEA041" w:rsidR="008D78CA" w:rsidRPr="00966E76" w:rsidRDefault="008D78CA" w:rsidP="008D78C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1BDB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водопроводы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7ADB44" w14:textId="3916CA09" w:rsidR="008D78CA" w:rsidRPr="00966E76" w:rsidRDefault="008D78CA" w:rsidP="008D78C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1BDB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Водопроводы, предназначенные для капельного орошения. Внутренний диаметр трубы не менее 13,6 мм, максимальное рабочее давление не менее 6 бар, Полиэтилен ПЭ, наружный диаметр трубы не менее 16 мм, Назначение трубы для холодного водоснабжения, сечение трубы: Круглое, Тип материала трубы: Полиэтилен, тип ПЭ 80, толщина стенки трубы: не менее 1,2 мм. На этапе поставки предоставить сертификат в соответствии с указанными характеристиками.</w:t>
            </w:r>
          </w:p>
        </w:tc>
      </w:tr>
      <w:tr w:rsidR="008D78CA" w:rsidRPr="00966E76" w14:paraId="4699B696" w14:textId="77777777" w:rsidTr="0029156E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6ED7AC" w14:textId="77777777" w:rsidR="008D78CA" w:rsidRPr="00966E76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B54E50F" w14:textId="0B95C0B3" w:rsidR="008D78CA" w:rsidRPr="00966E76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38431710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2E448CA" w14:textId="0B0E50B2" w:rsidR="008D78CA" w:rsidRPr="00966E76" w:rsidRDefault="008D78CA" w:rsidP="008D78C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կաթոցիկներ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AC94D24" w14:textId="421C62E4" w:rsidR="008D78CA" w:rsidRPr="00966E76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A13D29" w14:textId="474B8454" w:rsidR="008D78CA" w:rsidRPr="00966E76" w:rsidRDefault="008D78CA" w:rsidP="008D78C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FB43B11" w14:textId="7DC0F6EA" w:rsidR="008D78CA" w:rsidRPr="00966E76" w:rsidRDefault="008D78CA" w:rsidP="008D78C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D29B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Կաթոցիկ 0-100լ քանդովի մեմբրանով: Տեղադրվում է 16 մմ-ից մինչև 25 մմ կաթիլային խողովակների վրա, որով կազմակերպվում է ջրի բաշխումը խողովակներին: ԻՆտենսիվ այգիների, տարբեր ռելիեֆային գոտիներում ջրի լիտրաժի համահավասար բաշխում է ապահովում բույսերին: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AC79B" w14:textId="3A518ED1" w:rsidR="008D78CA" w:rsidRPr="00966E76" w:rsidRDefault="008D78CA" w:rsidP="008D78C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Капельница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FD84347" w14:textId="65E0AFB5" w:rsidR="008D78CA" w:rsidRPr="00966E76" w:rsidRDefault="008D78CA" w:rsidP="008D78CA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Капельница 0-100л со съемной мембраной. Устанавливается на капельные трубки от 16 мм до 25 мм, что организует распределение воды по трубкам. Обеспечивает равномерное распределение объема воды по растениям в интенсивных садах, различных зонах рельефа. На этапе поставки предъявите прилагаемый сертификат.</w:t>
            </w:r>
          </w:p>
        </w:tc>
      </w:tr>
      <w:tr w:rsidR="008D78CA" w:rsidRPr="00966E76" w14:paraId="7AA445F4" w14:textId="77777777" w:rsidTr="00113B12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1FE7063" w14:textId="77777777" w:rsidR="008D78CA" w:rsidRPr="00966E76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92A3BE9" w14:textId="3F3A82F2" w:rsidR="008D78CA" w:rsidRPr="00966E76" w:rsidRDefault="008D78CA" w:rsidP="008D78C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42131120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495175" w14:textId="42BE664A" w:rsidR="008D78CA" w:rsidRPr="00966E76" w:rsidRDefault="008D78CA" w:rsidP="008D78CA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խողովակաշարերի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փականներ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5BC6B9FD" w14:textId="560A9740" w:rsidR="008D78CA" w:rsidRPr="00966E76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D9F97F" w14:textId="372061E2" w:rsidR="008D78CA" w:rsidRPr="00966E76" w:rsidRDefault="008D78CA" w:rsidP="008D78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ECD75E0" w14:textId="77777777" w:rsidR="008D78CA" w:rsidRPr="00F844D5" w:rsidRDefault="008D78CA" w:rsidP="008D78CA">
            <w:pPr>
              <w:spacing w:line="0" w:lineRule="atLeast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Պլաստիկ օգտագործվում է կաթիլային ոռոգման համակարգ կազմակերպելիս: Թույլ է տալիս 16 մմ կաթիլային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խողովակին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միացնել գլխավոր ջրամատակարարման գծին։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Խողովակին միանալու տ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րամագիծ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16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Նյութ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Պլաստիկ, ռետին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Ներդիրքի տրամագիծը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12 մմ է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Արտադրանքի ծայրերում գտնվող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մասեր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 ապահովում են ամուր և հերմետիկ միացում։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Մատակարարման հավաքածուում կա կնքող ռետին։</w:t>
            </w:r>
          </w:p>
          <w:p w14:paraId="582DBC0D" w14:textId="5B3010C7" w:rsidR="008D78CA" w:rsidRPr="006552BD" w:rsidRDefault="008D78CA" w:rsidP="008D78C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Ծորակը պատրաստված է բարձր ամրության նյութերից, չի ենթարկվում 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lastRenderedPageBreak/>
              <w:t>ուլտրամանուշակագույն լույսի ազդեցությանը և ունի երկար ծառայության ժամկետ։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415DD" w14:textId="77C18D0A" w:rsidR="008D78CA" w:rsidRPr="00966E76" w:rsidRDefault="008D78CA" w:rsidP="008D78CA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трубопроводные клапаны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74CB41D" w14:textId="77777777" w:rsidR="008D78CA" w:rsidRPr="005713F8" w:rsidRDefault="008D78CA" w:rsidP="008D78CA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Пластик применяется при организации системы капельного полива. Позволяет подключить капельную трубку 16 мм к магистральной водопроводной линии. Диаметр трубного соединения не менее 16 мм, Материал Пластик, резина, Диаметр вставки не менее 12 мм, Детали на концах изделия обеспечивают прочное и герметичное соединение. В комплекте поставки есть уплотнительная резина.</w:t>
            </w:r>
          </w:p>
          <w:p w14:paraId="5FA5E738" w14:textId="34A6A390" w:rsidR="008D78CA" w:rsidRPr="00966E76" w:rsidRDefault="008D78CA" w:rsidP="008D78CA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Кран изготовлен из высокопрочных материалов, не подвержен 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воздействию ультрафиолета и имеет длительный срок службы. На этапе поставки предъявите сертификат.</w:t>
            </w:r>
          </w:p>
        </w:tc>
      </w:tr>
      <w:tr w:rsidR="008D78CA" w:rsidRPr="00177CBE" w14:paraId="29F3713A" w14:textId="77777777" w:rsidTr="00F1618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97373E5" w14:textId="7B4B7630" w:rsidR="008D78CA" w:rsidRPr="00177CBE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D31CAEA" w14:textId="1D66FFB3" w:rsidR="008D78CA" w:rsidRPr="007B443B" w:rsidRDefault="008D78CA" w:rsidP="008D78C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44163220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427215" w14:textId="136C2F33" w:rsidR="008D78CA" w:rsidRDefault="008D78CA" w:rsidP="008D78CA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խողովակների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միացնող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կցորդիչ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21F923A" w14:textId="6F594498" w:rsidR="008D78CA" w:rsidRPr="00966E76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039ABFC" w14:textId="7057ECFF" w:rsidR="008D78CA" w:rsidRDefault="008D78CA" w:rsidP="008D78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E008C9D" w14:textId="77777777" w:rsidR="008D78CA" w:rsidRPr="00552E42" w:rsidRDefault="008D78CA" w:rsidP="008D78CA">
            <w:pPr>
              <w:spacing w:line="0" w:lineRule="atLeast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F5E6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գտագործվում է կաթիլային ոռոգման համակարգ կազմակերպելիս: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Խողովակի սեղմակ 20 (1/2</w:t>
            </w:r>
            <w:r w:rsidRPr="00552E42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″</w:t>
            </w:r>
            <w:r w:rsidRPr="00DF5E64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դույմ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ողովակի արտաքին չափը (պլաստմասե խողովակներ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ին միանալու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 20-ից 23 մմ է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խ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ողովակի անցման չափը (պողպատե խողովակներ) 1/2</w:t>
            </w:r>
            <w:r w:rsidRPr="00552E42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″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552E42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դյույմ</w:t>
            </w:r>
            <w:r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ից ոչ պակաս, մի ծայրի գ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նդիկի չափը՝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M8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Գնդիկի երկարությունը՝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80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մյուս ծայրի գ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նդիկի չափը՝ M5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-ից ոչ պակաս:</w:t>
            </w:r>
          </w:p>
          <w:p w14:paraId="6F87D87B" w14:textId="561F5992" w:rsidR="008D78CA" w:rsidRDefault="008D78CA" w:rsidP="008D78C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Սահմանային բեռնվածություն՝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552E4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3.9 կՆ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88E34A" w14:textId="77DD9BC8" w:rsidR="008D78CA" w:rsidRPr="009759BC" w:rsidRDefault="008D78CA" w:rsidP="008D78CA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трубная муфта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BAE4B02" w14:textId="77777777" w:rsidR="008D78CA" w:rsidRPr="005713F8" w:rsidRDefault="008D78CA" w:rsidP="008D78CA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Используется при организации системы капельного полива. Хомут трубный 20 (1/2</w:t>
            </w:r>
            <w:r w:rsidRPr="005713F8">
              <w:rPr>
                <w:rFonts w:ascii="Cambria Math" w:hAnsi="Cambria Math" w:cs="Cambria Math"/>
                <w:bCs/>
                <w:iCs/>
                <w:color w:val="000000" w:themeColor="text1"/>
                <w:sz w:val="16"/>
                <w:szCs w:val="20"/>
                <w:lang w:val="hy-AM"/>
              </w:rPr>
              <w:t>″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дюйма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),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наружный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диаметр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трубы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(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для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соединения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пластиковых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труб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)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от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20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до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23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, диаметр проходного сечения трубы (стальные трубы) не менее 1/2</w:t>
            </w:r>
            <w:r w:rsidRPr="005713F8">
              <w:rPr>
                <w:rFonts w:ascii="Cambria Math" w:hAnsi="Cambria Math" w:cs="Cambria Math"/>
                <w:bCs/>
                <w:iCs/>
                <w:color w:val="000000" w:themeColor="text1"/>
                <w:sz w:val="16"/>
                <w:szCs w:val="20"/>
                <w:lang w:val="hy-AM"/>
              </w:rPr>
              <w:t>″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дюйма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,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размер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шара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одном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конце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менее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8,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длина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шара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менее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80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,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размер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шара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на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другом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конце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не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менее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 </w:t>
            </w:r>
            <w:r w:rsidRPr="005713F8">
              <w:rPr>
                <w:rFonts w:ascii="GHEA Grapalat" w:hAnsi="GHEA Grapalat" w:cs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</w:t>
            </w: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5.</w:t>
            </w:r>
          </w:p>
          <w:p w14:paraId="23846A6C" w14:textId="38804F3D" w:rsidR="008D78CA" w:rsidRPr="00B84E71" w:rsidRDefault="008D78CA" w:rsidP="008D78CA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Предельная нагрузка: не менее 3,9 кН. На этапе поставки предоставьте сертификат.</w:t>
            </w:r>
          </w:p>
        </w:tc>
      </w:tr>
      <w:tr w:rsidR="008D78CA" w:rsidRPr="00177CBE" w14:paraId="54D3B194" w14:textId="77777777" w:rsidTr="00F1618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926A14F" w14:textId="5F851754" w:rsidR="008D78CA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A074032" w14:textId="385B81B5" w:rsidR="008D78CA" w:rsidRPr="001E293C" w:rsidRDefault="008D78CA" w:rsidP="008D78C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44163220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336989A" w14:textId="298BCFDA" w:rsidR="008D78CA" w:rsidRPr="001E293C" w:rsidRDefault="008D78CA" w:rsidP="008D78CA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խողովակների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միացնող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կցորդիչ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40892F00" w14:textId="4EA96CF6" w:rsidR="008D78CA" w:rsidRPr="001E293C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69DCF1C8" w14:textId="782BE0EE" w:rsidR="008D78CA" w:rsidRPr="001E293C" w:rsidRDefault="008D78CA" w:rsidP="008D78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BBC1D85" w14:textId="77777777" w:rsidR="008D78CA" w:rsidRPr="00662B0E" w:rsidRDefault="008D78CA" w:rsidP="008D78CA">
            <w:pPr>
              <w:spacing w:line="0" w:lineRule="atLeast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62B0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խողովակների միացնող կցորդիչ</w:t>
            </w:r>
            <w:r w:rsidRPr="00DF5E6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/պերեխոդնիկ/, օ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գտագործվում է կաթիլային ոռոգման համակարգ կազմակերպելիս: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Աշխատանքային միջավայր՝</w:t>
            </w:r>
          </w:p>
          <w:p w14:paraId="4AC524DF" w14:textId="77777777" w:rsidR="008D78CA" w:rsidRPr="00662B0E" w:rsidRDefault="008D78CA" w:rsidP="008D78CA">
            <w:pPr>
              <w:spacing w:line="0" w:lineRule="atLeast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Ջուր,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ռավելագույն ջերմաստիճան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մինչև </w:t>
            </w:r>
          </w:p>
          <w:p w14:paraId="5C347D3E" w14:textId="082469A3" w:rsidR="008D78CA" w:rsidRDefault="008D78CA" w:rsidP="008D78C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90 °C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ն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յութ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պոլիպրոպիլեն / արույր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Չափս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20 մմ x 1/2 դյույմ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Միացման տեսակ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PPR-F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ա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ռավելագույն ճնշում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 ոչ պակաս 8</w:t>
            </w:r>
            <w:r w:rsidRPr="00662B0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բար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B58977" w14:textId="2D6CA3E3" w:rsidR="008D78CA" w:rsidRPr="009759BC" w:rsidRDefault="008D78CA" w:rsidP="008D78CA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трубная муфта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D8154E" w14:textId="77777777" w:rsidR="008D78CA" w:rsidRPr="005713F8" w:rsidRDefault="008D78CA" w:rsidP="008D78CA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Муфта соединительная трубная /переходник/, применяется при организации системы капельного орошения. Рабочая среда:</w:t>
            </w:r>
          </w:p>
          <w:p w14:paraId="6BB62301" w14:textId="77777777" w:rsidR="008D78CA" w:rsidRPr="005713F8" w:rsidRDefault="008D78CA" w:rsidP="008D78CA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Вода, максимальная температура до</w:t>
            </w:r>
          </w:p>
          <w:p w14:paraId="2367812F" w14:textId="4569DD1E" w:rsidR="008D78CA" w:rsidRPr="00566E82" w:rsidRDefault="008D78CA" w:rsidP="008D78CA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90 °С, материал: полипропилен/латунь, Размер не менее 20 мм х 1/2 дюйма, Тип соединения PPR-F, максимальное давление не менее 8 бар. На этапе поставки предоставьте сертификат.</w:t>
            </w:r>
          </w:p>
        </w:tc>
      </w:tr>
      <w:tr w:rsidR="008D78CA" w:rsidRPr="00177CBE" w14:paraId="2D08E274" w14:textId="77777777" w:rsidTr="00F1618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84F3E30" w14:textId="0FDCDB3E" w:rsidR="008D78CA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331176C1" w14:textId="73B1A287" w:rsidR="008D78CA" w:rsidRPr="001E293C" w:rsidRDefault="008D78CA" w:rsidP="008D78C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44161130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005903F" w14:textId="00B50810" w:rsidR="008D78CA" w:rsidRPr="001E293C" w:rsidRDefault="008D78CA" w:rsidP="008D78CA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ջրատար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խողովակաշարեր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307B9B54" w14:textId="54C5E904" w:rsidR="008D78CA" w:rsidRPr="001E293C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մետր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102A236" w14:textId="4660F2B0" w:rsidR="008D78CA" w:rsidRPr="001E293C" w:rsidRDefault="008D78CA" w:rsidP="008D78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2D15AA0A" w14:textId="77F557E5" w:rsidR="008D78CA" w:rsidRDefault="008D78CA" w:rsidP="008D78C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F5E6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գտագործվում է կաթիլային ոռոգման համակարգ կազմակերպելիս: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Արտաքին տրամագիծը՝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32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Ներքին տրամագիծը՝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28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Պատի հաստությունը՝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նյութը՝ պոլիէթիլենային,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Աշխատանքային ճնշում՝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 բար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ա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նվտանգ թողունակություն՝ մինչև 3,1 խմ/ժ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Առավելագույն թողունակությունը՝ ժամում մինչև 65 խորանարդ մետր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հեղուկի հոսքի արագություն՝ մինչև 1,5 մ/վ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Առավելագույն ջերմաստիճան՝ 40oC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549634" w14:textId="77777777" w:rsidR="008D78CA" w:rsidRPr="005713F8" w:rsidRDefault="008D78CA" w:rsidP="008D78CA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водопроводы</w:t>
            </w:r>
          </w:p>
          <w:p w14:paraId="332912DB" w14:textId="0D12F540" w:rsidR="008D78CA" w:rsidRPr="009759BC" w:rsidRDefault="008D78CA" w:rsidP="008D78CA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vodoprovody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C53180" w14:textId="2B57601C" w:rsidR="008D78CA" w:rsidRPr="00566E82" w:rsidRDefault="008D78CA" w:rsidP="008D78CA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713F8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Используется при организации системы капельного орошения. Наружный диаметр: не менее 32 мм, Внутренний диаметр: не менее 28 мм, Толщина стенки: не менее 2,0 мм, Материал: полиэтилен, Рабочее давление: не менее 10 бар, Безопасный расход: до 3,1 куб. м/ч, Максимальный расход: до 65 куб. м/ч, Скорость потока жидкости: до 1,5 м/с, Максимальная температура: 40оС. Предоставить сертификат при доставке.</w:t>
            </w:r>
          </w:p>
        </w:tc>
      </w:tr>
      <w:tr w:rsidR="008D78CA" w:rsidRPr="00177CBE" w14:paraId="6EB845F8" w14:textId="77777777" w:rsidTr="00F1618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5C9268" w14:textId="26D39851" w:rsidR="008D78CA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45697B6B" w14:textId="3C02FA65" w:rsidR="008D78CA" w:rsidRPr="001E293C" w:rsidRDefault="008D78CA" w:rsidP="008D78C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44411418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B09754" w14:textId="594CD174" w:rsidR="008D78CA" w:rsidRPr="001E293C" w:rsidRDefault="008D78CA" w:rsidP="008D78CA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փական</w:t>
            </w:r>
            <w:proofErr w:type="spellEnd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խցանային</w:t>
            </w:r>
            <w:proofErr w:type="spellEnd"/>
          </w:p>
        </w:tc>
        <w:tc>
          <w:tcPr>
            <w:tcW w:w="1200" w:type="dxa"/>
            <w:shd w:val="clear" w:color="000000" w:fill="FFFFFF"/>
            <w:vAlign w:val="center"/>
          </w:tcPr>
          <w:p w14:paraId="63AA5B16" w14:textId="47891B84" w:rsidR="008D78CA" w:rsidRPr="001E293C" w:rsidRDefault="008D78CA" w:rsidP="008D78C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97558A6" w14:textId="104B16E4" w:rsidR="008D78CA" w:rsidRPr="001E293C" w:rsidRDefault="008D78CA" w:rsidP="008D78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958B8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1A39E98D" w14:textId="77777777" w:rsidR="008D78CA" w:rsidRPr="009721AE" w:rsidRDefault="008D78CA" w:rsidP="008D78CA">
            <w:pPr>
              <w:spacing w:line="0" w:lineRule="atLeast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F5E6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</w:t>
            </w:r>
            <w:r w:rsidRPr="00F844D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գտագործվում է կաթիլային ոռոգման համակարգ կազմակերպելիս:</w:t>
            </w:r>
            <w:r w:rsidRPr="00BE139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Խցանը հարմար է ուլտրամանուշակագույն ճառագայթների անմիջական ազդեցության տակ օգտագործելու համար: Այն ունի գերազանց քիմիական դիմադրություն: Միացված խողովակների տրամագիծը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ոչ պակաս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32 մմ է: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Հավաքածուում կ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 ժապավենը ամրացնելու օղակ: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Նյութ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պոլիպրոպիլեն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Առավելագույն մթնոլորտային ճնշում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ոչ պակաս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Միացման տրամագիծ, կողմ A</w:t>
            </w:r>
          </w:p>
          <w:p w14:paraId="45D6A33C" w14:textId="3AC1755A" w:rsidR="008D78CA" w:rsidRDefault="008D78CA" w:rsidP="008D78CA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21A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32 մմ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Մատակարարման փուլում կից ներկայացնել սերտիֆիկատը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4100D9" w14:textId="520ECD11" w:rsidR="008D78CA" w:rsidRPr="009759BC" w:rsidRDefault="008D78CA" w:rsidP="008D78CA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02601F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заглушка клапана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CDDD62D" w14:textId="77777777" w:rsidR="008D78CA" w:rsidRPr="0002601F" w:rsidRDefault="008D78CA" w:rsidP="008D78CA">
            <w:pPr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02601F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Используется при организации системы капельного полива. Заглушка пригодна для использования в условиях прямого воздействия ультрафиолетовых лучей. Имеет отличную химическую стойкость. Диаметр подключаемых труб не менее 32 мм. В комплект входит кольцо для крепления ленты., Материал полипропилен, Максимальное атмосферное давление не менее 10, Диаметр присоединения, сторона А</w:t>
            </w:r>
          </w:p>
          <w:p w14:paraId="16CA6CAF" w14:textId="056E3D64" w:rsidR="008D78CA" w:rsidRPr="00566E82" w:rsidRDefault="008D78CA" w:rsidP="008D78CA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02601F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32 мм. На этапе поставки предъявите сертификат.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177CBE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2166"/>
    <w:rsid w:val="006552BD"/>
    <w:rsid w:val="00655FCD"/>
    <w:rsid w:val="00694C1F"/>
    <w:rsid w:val="006E7187"/>
    <w:rsid w:val="00714974"/>
    <w:rsid w:val="00773ABB"/>
    <w:rsid w:val="007765D6"/>
    <w:rsid w:val="007E6EB3"/>
    <w:rsid w:val="007F0130"/>
    <w:rsid w:val="00887CE6"/>
    <w:rsid w:val="00893057"/>
    <w:rsid w:val="008D78CA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A23FC"/>
    <w:rsid w:val="00CB40F6"/>
    <w:rsid w:val="00CD5A5F"/>
    <w:rsid w:val="00D1132B"/>
    <w:rsid w:val="00D73AD8"/>
    <w:rsid w:val="00D923C3"/>
    <w:rsid w:val="00DB58A3"/>
    <w:rsid w:val="00DF37EC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1141</Words>
  <Characters>6506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42</cp:revision>
  <dcterms:created xsi:type="dcterms:W3CDTF">2023-01-25T12:37:00Z</dcterms:created>
  <dcterms:modified xsi:type="dcterms:W3CDTF">2025-06-13T10:34:00Z</dcterms:modified>
</cp:coreProperties>
</file>