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SHPH-EAAPDZB-25/7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«Государственный университет Ширака имени М. Налбандяна»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Гюмри ул. Паруйра Севака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Строительная продукция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Эдварду Григоряну</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protender.itender@gmail.com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«Государственный университет Ширака имени М. Налбандяна»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SHPH-EAAPDZB-25/7</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«Государственный университет Ширака имени М. Налбандяна»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Строительная продукция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Строительная продукция</w:t>
      </w:r>
      <w:r>
        <w:rPr>
          <w:rFonts w:ascii="Calibri" w:hAnsi="Calibri" w:cstheme="minorHAnsi"/>
          <w:b/>
          <w:lang w:val="ru-RU"/>
        </w:rPr>
        <w:t xml:space="preserve">ДЛЯ НУЖД  </w:t>
      </w:r>
      <w:r>
        <w:rPr>
          <w:rFonts w:ascii="Calibri" w:hAnsi="Calibri" w:cstheme="minorHAnsi"/>
          <w:b/>
          <w:sz w:val="24"/>
          <w:szCs w:val="24"/>
          <w:lang w:val="af-ZA"/>
        </w:rPr>
        <w:t>ФОНД «Государственный университет Ширака имени М. Налбандяна»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SHPH-EAAPDZB-25/7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protender.itender@gmail.com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Строительная продукция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Armstrong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Водная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Пигментная краска разных цветов во флаконах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штукатурный металлический 260см длина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Ламинированная ДВП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галопа Пивза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нарезанные куски ламината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для ящика шкафа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мебельной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мебельная дверная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подвешивания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обоев для ногтей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для сборки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Бетонный контакт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Шришак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380.79</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435.35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SHPH-EAAPDZB-25/7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"SHPH-EAAPDZB-25/7"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"SHPH-EAAPDZB-25/7"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SHPH-EAAPDZB-25/7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Armstrong 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Водная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Пигментная краска разных цветов во флаконах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штукатурный металлический 260см длина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Ламинированная ДВП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галопа Пивза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нарезанные куски ламината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для ящика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мебельной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мебельная дверная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подвешивания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обоев для ногтей в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для сборки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Бетонный контакт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Шришак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даты вступления настоящего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Armstrong 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Водная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Пигментная краска разных цветов во флаконах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штукатурный металлический 260см длина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Ламинированная ДВП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галопа Пивза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нарезанные куски ламината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для ящика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мебельной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мебельная дверная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подвешивания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обоев для ногтей в коробке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для сборки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Бетонный контакт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Шришак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