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финансов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М. Адамян-1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серверной системы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Лусине Саакян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lusine.sahakyan@minfin.am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011800114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финансов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ՖՆ-ԷԱՃԱՊՁԲ-25/2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финансов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финансов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серверной системы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серверной системы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финансов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ՖՆ-ԷԱՃԱՊՁԲ-25/2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lusine.sahakyan@minfin.am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серверной системы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438.12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2025.07.02.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ՖՆ-ԷԱՃԱՊՁԲ-25/2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финансов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ՖՆ-ԷԱՃԱՊՁԲ-25/2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ՖՆ-ԷԱՃԱՊՁԲ-25/2"*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ՖՆ-ԷԱՃԱՊՁԲ-25/2"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финансов РА*(далее — Заказчик) процедуре закупок под кодом ՀՀ ՖՆ-ԷԱՃԱՊՁԲ-25/2*.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ՖՆ-ԷԱՃԱՊՁԲ-25/2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ՖՆ-ԷԱՃԱՊՁԲ-25/2"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финансов РА*(далее — Заказчик) процедуре закупок под кодом ՀՀ ՖՆ-ԷԱՃԱՊՁԲ-25/2*.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ՖՆ-ԷԱՃԱՊՁԲ-25/2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Как минимум 5-летняя техническая поддержкa от производителя для всех оборудований для 1,2 лотов, с возможностью регистрации сервисного инцидента в режиме 24x7.  Время отклика: максимум 15 минут․ Поврежденные носители не будут возвращены производителю..Если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_____12_______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Серверная система, состоящая из:
1)	20 (двадцати) серверов,
2)	2 (двух) хранилищ данных,
3)	4 (четырёх) оптических коммутаторов SAN.
1. Сервер должен содержать:
Шасси: Сервер 1U, для установки в 19-дюймовую серверную стойку, с кронштейнами для установки сервера в стойку.
Процессор: не менее 2 процессоров, каждый с числом ядер не менее 20, частотой не менее 2,1 ГГц и показателем SPECspeed2017_int_peak не менее 14,7, что при использовании в виртуальной среде должно позволять использовать весь возможный функционал виртуальной системы с существующими процессорами Intel Xeon.
Оперативная память: как минимум 32 слотов DIMM
С установленной оперативной памятью 1024 GB DDR5-5600 RDIMM RAM.
Накопители и контроллеры RIAD: С возможностью установки 10 x 2.5” SAS/SATA/SSD/NVMe. Наличие 2 накопителей M.2 NVMe SSD емкостью как минимум 480 GB, сконфигурированных в RAID 1.
Порты: Наличие как минимум 1 двухпортового адаптера Ethernet SFP+ 10 Gb. Должны быть включены 2 трансивера Shor Range 10 Gb.  Наличие как минимум 4 портов 1Gb RJ-45 Ethernet.
Наличие как минимум 1 двухпортового адаптера FibreChannel 32 Gb. Должны быть включены 2 трансивера 32Gb Shor Range. Поддержка как минимум трёх x16 PCIe Gen 5 слотов и двух слотов OCP.
Питание:
Как минимум 2 блока питания 800W hot-plug redundant.
Операционные системы:
Поддержка как минимум следующих операционных систем:
•	Microsoft Windows Server
•	Red Hat Enterprise Linux (RHEL)
•	SUSE Linux Enterprise Server (SLES)
•	Vmware ESXI
•	Citrix Hypervisor
•	Oracle Linux, Oracle VM
•	Canonical Ubuntu Server 
•	Citrix                              
Управление
Выделенные порты управления USB и RJ-45. Модуль управления должен иметь лицензию, которая позволит использовать все доступные функции модуля.
Кабели и коммутаторы: Серверы должны включать все необходимые компоненты для подключения к внешней инфраструктуре.
Этими компонентами являются:
1.	Кабели для подключения к электронному источнику питания для всех входов питания,
2.	Коммутаторы для подключения ко всем оптическим портам серверов.
Гарантия:
Как минимум 5-летняя техническая поддержкa от производителя для всех оборудований, с возможностью регистрации сервисного инцидента в режиме 24x7.  Время отклика: максимум 15 минут․ Поврежденные носители не будут возвращены производителю. Наличие двух лицензированных сервисных центров на территории Армении обязательно․ Данные о сервисных центров должны быть указаны на сайте производителя.
2.	Система хранения данных (СХД) должнa включать:
Шасси - Система хранения данных NVMe - для установки в 19-дюймовую серверную стойку, с кронштейнами для крепления СХД в стойке. СХД должна обеспечить 100% доступность данных. Это должно быть указано на веб-сайте производителя.
СХД должна иметь возможность настройки качества обслуживания (Quality of service - QoS), в рамках которой должна быть возможность установки требуемого параметра времени отклика (Response time), а также установки минимальных и максимальных параметров IOPS и bandwidth. Должна быть возможность изменять параметры Response time, IOPS, bandwidth в режиме реального времени. Поддержка интеграции Red Hat OpenShift, Kubernetes через CSI driver. Поддержка VMWare VVOL.  
СХД должна иметь возможность настройки отдельных Tenant-ов (Multi-Tenancy: Разделить СХД на отдельные логические системы, с отдельными правилами контроля доступа).
Поддержка как минимум следующих операционных систем: 
•	Microsoft Windows Server
•	Red Hat Enterprise Linux (RHEL)
•	SUSE Linux Enterprise Server (SLES)
•	Vmware ESXI
Накопители и расширение:
Наличие как минимум 8 накопителей 15.36 TB  NVMe SFF Self-encrypting SSD, с возможностью увеличения до 96․  Накопители должны поддерживать шифрование. Поддержка NVMe SSD накопителей типа QLC.   СХД также должна иметь поддержку (distributed) Global hot Spare предлагаемых накопителей. СХД также должна иметь поддержку прямого подключения дополнительных стоек к контроллеру, с помощью резервных соединений 100 Гб/с NVME-OF.  Каждая из дополнительных стоек должна иметь 2 контроллера, с отдельным процессором и с объёмом памяти как минимум 64 GB. Предлагаемая Система должна иметь такую архитектуру, чтобы каждый подключенный носитель был физически виден и доступен со всех контроллеров.
Контроллеры, кэш и возможность взаимодействия:
СХД должна иметь как минимум 2 контроллера, работающих в режиме ''Active/Active''.  Каждый контроллер должен иметь кэш-память емкостью как минимум 256 GB. Для подключения накопителей необходимо иметь как минимум 48 линий PCI 4.0.  Каждый контроллер должен иметь как минимум 4x 32GbE FC SFP+ портов подключения, с возможностью увеличения до 8.  Поддержка портов 10/25 GB IP.  Поддержка Fibre Channel, NVMe-oF/FC NVMe-oF/TCP, протоколов iSCSI.   Поддержка синхронной репликации Active/Active как с подобной системой хранения данных, так и с существующими системами хранения данных HPE Primera, без дополнительного программного обеспечения и без дополнительных оборудований. Необходимо уметь создавать и поддерживать технологию Stretch Clustering с указанными системами хранения данных. Поддержка репликации Active / Active для операционных систем VMware, Redhat, Microsoft. Поддержка как минимум RAID 6.
3.	Оптический коммутатор SAN должен содержать:
Шасси – Сервер 1U - для установки в 19-дюймовую серверную стойку, с кронштейнами для крепления сервера в стойке.
Порты: Наличие как минимум 24 портов 32 GB FC (FibreChannel) SFP28. Все порты должны быть оснащены трансиверами 32Gb FC SFP28 SR LC и кабелями LC/LC MM длиной 2м. Функциональность для создания ISL-транкинга с другими коммутаторами. Поддержка подключения к существующим коммутаторам HPE SN3000 SAN в режиме Fabric и поддержка ISL-транкинга с указанными коммутаторами.
Кабели и адаптеры: Коммутатторы должны включать все компоненты для подключения к внешним инфраструктурам. 
Этими компонентами являются:
1.	Кабели для подключения к электронному источнику питания, для всех входов питания
2.	Адаптеры
3.	Оптические кабели
Гарантия: Как минимум 5-летняя техническая поддержкa от производителя для всех оборудований, с возможностью регистрации сервисного инцидента в режиме 24x7.  Время отклика: максимум 15 минут․ Поврежденные носители не будут возвращены производителю. Наличие двух лицензированных сервисных центров на территории Армении обязательно․ Данные о сервисных центров должны быть указаны на сайте производителя.
*Все предлагаемое оборудование для каждой дозы должно быть от одного производителя, и поставщик должен гарантировать, что производитель предоставляет техническую поддержку по принципу «одного окна».
** Поставщик должен гарантировать, что монтаж и ввод в эксплуатацию оборудования выполняются специалистом, имеющим лицензию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коммутаторов или маршрутизаторов должны включать:
1)	2 (два) коммутатора управления,
2)	4 (четыре) основных коммутатора,
3)	4 (четыре) пограничных маршрутизатора, 
4)	4 (четыре) виртуальных брандмауэра (Firewall, межсетевой экран) 
5)	4 (четыре) аппаратных брандмауэра (Firewall, межсетевой экран) 
6)	Централизованное управление 2 (двух) брандмауэров․
1.	Коммутатор управления։
Шасси։
Для установки в серверную стойку макс․ 1U / Physical Form Factor: no more 1 RU (Rack Unit)․
Порты и производительность։
Как минимум 48 x Gigabit Ethernet port  и как минимум 4 портов 1G SFP uplink port.
Мощность преобразования (Switching Capacity): как минимум 104 Gbps.  Поддержка стекирования (Stacking Support): at least 8 stack members. Пропускная способность стекирования: как минимум 80 Gbps (Stacking Bandwidth: at least 80 Gbps (Full Stack Bandwidth)).
Программное обеспечение и автоматизация։
Программное обеспечение и поддержка обновления (ISSU) / Поддержка In-Service Software Upgrade (ISSU) Support/ RESTful APIs  / Support for RESTful APIs NETCONF/YANG для автоматизации сети / NETCONF/YANG for network automation.
Оперативная память։
Память: как минимум 2 GB DRAM, Флэш-накопитель: ёмкостью как минимум 4 GB․
Маршрутизация (Routing):
Supported Routing Protocols
OSPF (Open Shortest Path First)․
EIGRP (Enhanced Interior Gateway Routing Protocol)․
Безопасность и мониторинг:
Обеспечение видимости и безопасности трафика / Traffic Visibility and Security: Full Flexible NetFlow, TrustSec Support․
Питание
Redundant Power Supply, поддержка FRU (Field-Replaceable Units Support)․ Соединительные кабели: Наличие кабелей электропитания для всех входов питания.
2.	Основной коммутатор
Шасси:
Для установки в серверную стойку макс․ 1U / Physical Form Factor: no more 1 RU (Rack Unit)․
Порты и преобразователи:
Порты Downlink (Downlink Ports): как минимум 48 x 100M/1/10/25-Gigabit Ethernet SFP28, из которых как минимум 24 порта должы быть активны.  Порты Uplink (Uplink Ports): как минимум 6 x 10/25/40/50/100-Gigabit Ethernet QSFP28.  Модули расширения (Expansion Modules): как минимум 24  x 10G SFP.  Наличие как минимум 1 USB порта.
Оптические кабели для подключения также должны быть включены.
Оперативная память (RAM): как минимум 16 GB.
Память: Как минимум 128 GB SSD Memory  and Storage.
Питание: Наличие как минимум 2 блоков питания 650W hot-swappable (650W Redundant Power Supply): Dual, hot-swappable for high availability, а также как минимум 4 шт. Fans for system airflow / Hot-swappable fan trays with front-to-back airflow․ Соединительные кабели: Наличие кабелей электропитания для всех входов питания.
Безопасность:
Поддержка MACsec (MACsec Support).	
Виртуализация и управление трафиком:
Number of VRF Instances: как минимум 16,000․
Maximum Port Channels: как минимум 512․
Maximum Links in a Port Channel: как минимум 32․
Maximum VLANs in Rapid Per-VLAN Spanning Tree (RPVST): как минимум 3,967․
Maximum Hot-Standby Router Protocol (HSRP) Groups: как минимум 490․
Поддержка технологии маршрутизации (Advanced Routing and Switching Capabilities)
BGP, EIGRP, OSPF, IS-IS
GRE, MSDP, PIM, SSM
VXLAN BGP EVPN
Поддержка Traffic Engineering 
PBR (Policy-Based Routing)
Segment Routing Support
Поддержка High Availability and Redundancy 
PTP (Precision Time Protocol) and SyncE Support
Dual, Hot-Swappable Power Supplies
Hot-Swappable Fan Trays
Поддержка технологий Automation and Programmability 
MLAG (vPC) Support
RESTful API Support
3.	Пограничный маршрутизатор (Роутер)  
Порты:
Наличие как минимум 12 x 1/10 Gigabit Ethernet SFP+ портов (12 x 1/10 Gigabit Ethernet SFP+ Ports)․
Наличие как минимум 4 x 10G SFP модулей расширения (Expansion Modules: 4 x 10G SFP)․
Оптические кабели также должны быть включены.
Оперативная память։
Как минимум 16 GB DRAM (Memory: 16 GB DRAM)
Память։
Как минимум 32 GB eUSB (Storage: 32 GB Eusb)
Питание։
Наличие как минимум 2 источников питания 750 В hot-swappable, Dual Redundant / Power Supply: 750W, Dual Redundant, Hot-Swappable Power Supplies․  Соединительные кабели: Наличие кабелей электропитания для всех входов питания.
Возможности։
Поддержка следующих технологий:
IPv4 and IPv6 Support
Static Routing, OSPF, EIGRP, BGP, IS-IS.
Multicast Routing։
    IGMPv3, PIM SM, SSM, MSDP.
    Multicast Segment Routing.
    Router Group Management Protocol (RGMP).
    Pragmatic General Multicast (PGM).
MPLS and VPN Routing: 
   MPLS Layer 2 and Layer 3 VPNs, Ethernet over   MPLS (EoMPLS), Any Transport over MPLS (AToM), and MPLS Traffic Engineering (TE).
   Segment Routing.
   EVPN and Virtual Private LAN Services (VPLS, H-VPLS).
Policy-Based Routing (PBR).
Bidirectional Forwarding Detection (BFD).
Unidirectional Link Routing (UDLR).
Управление трафиком и QoS։
Поддержка следующих технологий:
QoS (Quality of Service).
Class-Based Weighted Fair Queueing (CBWFQ).
Weighted Random Early Detection (WRED).
NBAR2 (Next-Generation Network-Based Application Recognition).
Application Visibility and Control (SD-AVC).
Мониторинг и анализ сети։
Поддержка следующих технологий:
NetFlow, Flexible NetFlow (FNF), IPFIX.
Performance Monitoring and Flexible Packet Matching (FPM).
Embedded Event Manager (EEM).
IP SLA (Service-Level Agreements).
Автоматизация и программирование։
Поддержка следующих технологий:
Easy Virtual Network (EVN), vRF-Lite, Multi-VRF, VRF Support.
GRE Tunnels, IPv6-over-IPv4 and IPv4-over-IPv6 Tunnels.
Web Cache Routing Protocol (WCCP).
4.	Виртуальный брандмауэр (Firewall, межсетевой экран) 
Поддержка Multi-Hypervisor 
VMware ESXi: 6.0, 6.5, 6.7, 7.0․
KVM, OpenStack, Nutanix AHV: AOS 5.20, AHV Version 20201105.2030․
Cisco Hyperflex: Data Platform 4.5.1a-39020․
Совместимость с облачной средой:
Azure: Version 6.5 and above․
AWS: Version 6.6 and above․
Cisco Hyperflex: Version 7.0 and above․
Nutanix AHV: Version 7.0 and above
Высокая доступность (High Availability - HA):
Наличие Stateful Firewall 
Поддержка Snort - Intrusion Prevention System (IPS)
Поддержка Reputation-Based Blocking – Dynamically blocks known malicious entities. 
Поддержка Automated Threat Response (ATR) – Real-time threat containment and mitigation. 
Поддержка Automated Threat Intelligence Support – Updates with the latest threat feeds. 
Поддержка Customizable Threat.
Пропускная способность брандмауэра (Firewall Throughput): Как минимум 15 Gbps.
Как минимум 2,000,000 одновременных сеансов (Concurrent Sessions).
Как минимум 130,000 новых подключений за секунду. (New Connections per Second: 130,000 or more)․
Как минимум 10,000 VPN Peers. 
Протоколы маршрутизации (Supported Routing Protocols):
OSPF (Open Shortest Path First)․
EIGRP (Enhanced Interior Gateway Routing Protocol)․
BGP (Border Gateway Protocol)․
Централизованное управление и мониторинг:
Виртуальные аппараты брандмауэра (Виртуальный Firewall) должны иметь поддержку централизованного управления и мониторинга. / Security and Network Management/ •Centralized Configuration and Logging •Real-Time Monitoring and Reporting
5.	Аппаратный брандмауэр
Шасси:
Для установки в серверную стойку макс․ 1U / Physical Form Factor: no more 1 RU (Rack Unit)․
Безопасность и защита от угроз (Security and Threat Protection):
Next-Generation Firewall (NGFW) Capabilities:
Application Visibility and Control (AVC)
Encrypted Visibility Engine (EVE)
Intrusion Prevention System (IPS)
Advanced Malware Protection (AMP)
Порты и модули:
Наличие как минимум 8 портов подключения  1GBASE-T RJ45 (At least  8 x 1GBASE-T RJ45 ports for copper connectivity).
Наличие как минимум 8 x 10G SFP+ оптических портов подключения.
Наличие как минимум 1 порта управления 10G SFP (At least  1 x 1/10G SFP dedicated management port).
Наличие как минимум 4 модулей  10G SFP - Обеспечивание высокоскоростного подключения для роста сети / Аt least 4 x 10G SFP Modules – Provides high-speed connectivity for network growth. 
Оптические кабели должны быть включены.
Защита:
Система должна иметь защиту от вредоносного и нежелательного веб-контента и обширную базу данных по анализу угроз. URL Filtering: Protects against malicious and unwanted web content.Includes an extensive threat intelligence database. 
Система должна предоставлять обновления в режиме реального времени для снижения угроз. Automated Threat Intelligence – Provides real-time updates for threat mitigation. 
Протоколы маршрутизации:
Supported Routing Protocols:
OSPF (Open Shortest Path First)․
EIGRP (Enhanced Interior Gateway Routing Protocol)․
BGP (Border Gateway Protocol)․
Пропускная способность брандмауэра (Firewall Throughput) - как минимум 10 Gbps․ 
Максимальное количество одновременных сеансов с поддержкой AVC (Maximum Concurrent Sessions -AVC Enabled)։ как минимум 1,5 миллиона․  TLS Inspection Throughput: как минимум 3.2 Gbps.
Firewall + AVC + IPS Throughput: как минимум 10 Gbps.
Next-Gen IPS (NGIPS) Throughput: как минимум 10 Gbps.
IPSec VPN Throughput: как минимум  5.5 Gbps. VPN Peers как минимум 2,000.
Максимальное количество новых подключений с поддержкой AVC (Maximum New Connections per Second - AVC Enabled): 90,000.
Хранилище (память) и расширяемость:
Storage and Expandability
Как миниимум 900GB SSD for threat logs, signatures, and configurations.
USB 3.0 Type A (900 mA) port – как минимум 1 шт.
Network Module Slot – как минимум 1 шт.
Питание:
Блоки питания 400W.
Соединительные кабели: Наличие кабелей электропитания для всех входов питания.
Охлаждение:
Система охлаждения: Наличие как минимум 2 модулей Hot-Swappable Fan, которые обеспечат эффективный поток воздуха и охлаждение системы. Cooling System: 2 Hot-Swappable Fan Modules – Provides efficient airflow and system cooling.
Управлиение։
Системы аппаратных брандмауэров должны иметь поддержку централизованного управления (Support for Centralized Management).
6.	 Централизованное управление брандмауэров.
Безопасность и отчетность:
Analytics and Reporting
Customizable Reports.
Intrusion Prevention System (IPS) Event Capacity: Up to 10,000,000 events.
Network Map Size: Supports up to 50,000 hosts/users.
Event Storage Capacity: 250 GB.
Безопасность и автоматизация:
Automated Threat Response (ATR) resilience.
Поддержка (Support):
Поддержка Centralized Configuration and Logging.
Поддержка Comprehensive Network Visibility.
Поддержка управления как минимум 10 брандмауэров (Manageable Devices: Up to 10 firewalls․)
Лицензии должны обеспечивать централизованное управление и контроль / Centralized Management and Control․
Гарантия: Как минимум 5-летняя техническая поддержкa от производителя для всех оборудований, с возможностью регистрации сервисного инцидента в режиме 24x7.  Время отклика: максимум 15 минут․ Поврежденные носители не будут возвращены производителю. Наличие двух лицензированных сервисных центров на территории Армении обязательно․ Данные о сервисных центров должны быть указаны на сайте производителя.
*Все предлагаемое оборудование для каждой дозы должно быть от одного производителя, и поставщик должен гарантировать, что производитель предоставляет техническую поддержку по принципу «одного окна».
** Поставщик должен гарантировать, что монтаж и ввод в эксплуатацию оборудования выполняются специалистом, имеющим лицензию производителя.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Агаронян 12/3 (50% продукта, в зависимости от количества)  и  г.  Дилижан, Парз Лич 5 (50% продукта, в зависимости от количества)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монтаж и наладка продукции осуществляются в течение 120 календарных дней со дня, следующего за днем вступления договора в силу, при наличии на эти цели соответствующих финансовых ресурсов и заключении сторонами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Агаронян 12/3 (50% продукта, в зависимости от количества)  и  г.  Дилижан, Парз Лич 5 (50% продукта, в зависимости от количества)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монтаж и наладка продукции осуществляются в течение 120 календарных дней со дня, следующего за днем вступления договора в силу, при наличии на эти цели соответствующих финансовых ресурсов и заключении сторонами соответствующего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