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финансов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 Адамян-1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серверной системы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Лусине Саакян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lusine.sahakyan@minfin.am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011800114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финансов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ՖՆ-ԷԱՃԱՊՁԲ-25/2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серверной системы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серверной системы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финансов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ՖՆ-ԷԱՃԱՊՁԲ-25/2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lusine.sahakyan@minfin.am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серверной системы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финансов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ՖՆ-ԷԱՃԱՊՁԲ-25/2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ՖՆ-ԷԱՃԱՊՁԲ-25/2"*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ՖՆ-ԷԱՃԱՊՁԲ-25/2"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ՖՆ-ԷԱՃԱՊՁԲ-25/2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ՖՆ-ԷԱՃԱՊՁԲ-25/2"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финансов РА*(далее — Заказчик) процедуре закупок под кодом ՀՀ ՖՆ-ԷԱՃԱՊՁԲ-25/2*.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ՖՆ-ԷԱՃԱՊՁԲ-25/2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Как минимум 5-летняя техническая поддержкa от производителя для всех оборудований для 1 лота, а для 2-ого лота,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_____12_______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Серверная система, состоящая из:
1)	20 (двадцати) серверов,
2)	2 (двух) хранилищ данных,
3)	4 (четырёх) оптических коммутаторов SAN.
1. Сервер должен содержать:
Шасси: Сервер 1U, для установки в 19-дюймовую серверную стойку, с кронштейнами для установки сервера в стойку.
Процессор: не менее 2 процессоров, каждый с числом ядер не менее 20, частотой не менее 2,1 ГГц и показателем SPECspeed2017_int_peak не менее 14,7, что при использовании в виртуальной среде должно позволять использовать весь возможный функционал виртуальной системы с существующими процессорами Intel Xeon.
Оперативная память: как минимум 32 слотов DIMM
С установленной оперативной памятью 1024 GB DDR5-5600 RDIMM RAM.
Накопители и контроллеры RIAD: С возможностью установки 10 x 2.5” SAS/SATA/SSD/NVMe. Наличие 2 накопителей M.2 NVMe SSD емкостью как минимум 480 GB, сконфигурированных в RAID 1.
Порты: Наличие как минимум 1 двухпортового адаптера Ethernet SFP+ 10 Gb. Должны быть включены 2 трансивера Shor Range 10 Gb.  Наличие как минимум 4 портов 1Gb RJ-45 Ethernet.
Наличие как минимум 1 двухпортового адаптера FibreChannel 32 Gb. Должны быть включены 2 трансивера 32Gb Shor Range. Поддержка как минимум трёх x16 PCIe Gen 5 слотов и двух слотов OCP.
Питание:
Как минимум 2 блока питания 800W hot-plug redundant.
Операционные системы:
Поддержка как минимум следующих операционных систем:
•	Microsoft Windows Server
•	Red Hat Enterprise Linux (RHEL)
•	SUSE Linux Enterprise Server (SLES)
•	Vmware ESXI
•	Citrix Hypervisor
•	Oracle Linux, Oracle VM
•	Canonical Ubuntu Server 
•	Citrix                              
Управление
Выделенные порты управления USB и RJ-45. Модуль управления должен иметь лицензию, которая позволит использовать все доступные функции модуля.
Кабели и коммутаторы: Серверы должны включать все необходимые компоненты для подключения к внешней инфраструктуре.
Этими компонентами являются:
1.	Кабели для подключения к электронному источнику питания для всех входов питания,
2.	Коммутаторы для подключения ко всем оптическим портам серверов.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2.	Система хранения данных (СХД) должнa включать:
Шасси - Система хранения данных NVMe - для установки в 19-дюймовую серверную стойку, с кронштейнами для крепления СХД в стойке. СХД должна обеспечить 100% доступность данных. Это должно быть указано на веб-сайте производителя.
СХД должна иметь возможность настройки качества обслуживания (Quality of service - QoS), в рамках которой должна быть возможность установки требуемого параметра времени отклика (Response time), а также установки минимальных и максимальных параметров IOPS и bandwidth. Должна быть возможность изменять параметры Response time, IOPS, bandwidth в режиме реального времени. Поддержка интеграции Red Hat OpenShift, Kubernetes через CSI driver. Поддержка VMWare VVOL.  
СХД должна иметь возможность настройки отдельных Tenant-ов (Multi-Tenancy: Разделить СХД на отдельные логические системы, с отдельными правилами контроля доступа).
Поддержка как минимум следующих операционных систем: 
•	Microsoft Windows Server
•	Red Hat Enterprise Linux (RHEL)
•	SUSE Linux Enterprise Server (SLES)
•	Vmware ESXI
Накопители и расширение:
Наличие как минимум 8 накопителей 15.36 TB  NVMe SFF Self-encrypting SSD, с возможностью увеличения до 96․  Накопители должны поддерживать шифрование. Поддержка NVMe SSD накопителей типа QLC.   СХД также должна иметь поддержку (distributed) Global hot Spare предлагаемых накопителей. СХД также должна иметь поддержку прямого подключения дополнительных стоек к контроллеру, с помощью резервных соединений 100 Гб/с NVME-OF.  Каждая из дополнительных стоек должна иметь 2 контроллера, с отдельным процессором и с объёмом памяти как минимум 64 GB. Предлагаемая Система должна иметь такую архитектуру, чтобы каждый подключенный носитель был физически виден и доступен со всех контроллеров.
Контроллеры, кэш и возможность взаимодействия:
СХД должна иметь как минимум 2 контроллера, работающих в режиме ''Active/Active''.  Каждый контроллер должен иметь кэш-память емкостью как минимум 256 GB. Для подключения накопителей необходимо иметь как минимум 48 линий PCI 4.0.  Каждый контроллер должен иметь как минимум 4x 32GbE FC SFP+ портов подключения, с возможностью увеличения до 8.  Поддержка портов 10/25 GB IP.  Поддержка Fibre Channel, NVMe-oF/FC NVMe-oF/TCP, протоколов iSCSI.   Поддержка синхронной репликации Active/Active как с подобной системой хранения данных, так и с существующими системами хранения данных HPE Primera, без дополнительного программного обеспечения и без дополнительных оборудований. Необходимо уметь создавать и поддерживать технологию Stretch Clustering с указанными системами хранения данных. Поддержка репликации Active / Active для операционных систем VMware, Redhat, Microsoft. Поддержка как минимум RAID 6.
3.	Оптический коммутатор SAN должен содержать:
Шасси – Сервер 1U - для установки в 19-дюймовую серверную стойку, с кронштейнами для крепления сервера в стойке.
Порты: Наличие как минимум 24 портов 32 GB FC (FibreChannel) SFP28. Все порты должны быть оснащены трансиверами 32Gb FC SFP28 SR LC и кабелями LC/LC MM длиной 2м. Функциональность для создания ISL-транкинга с другими коммутаторами. Поддержка подключения к существующим коммутаторам HPE SN3000 SAN в режиме Fabric и поддержка ISL-транкинга с указанными коммутаторами.
Кабели и адаптеры: Коммутатторы должны включать все компоненты для подключения к внешним инфраструктурам. 
Этими компонентами являются:
1.	Кабели для подключения к электронному источнику питания, для всех входов питания
2.	Адаптеры
3.	Оптические кабели
Гарантия: Как минимум 5-летняя техническая поддержкa от производителя для всех оборудований, с возможностью регистрации сервисного инцидента в режиме 24x7.  Время отклика: максимум 15 минут․ Поврежденные носители не будут возвращены производителю. Наличие двух лицензированных сервисных центров на территории Армении обязательно․ Данные о сервисных центров должны быть указаны на сайте производителя.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коммутаторов или маршрутизаторов должны включать:
1)	2 (два) коммутатора управления,
2)	4 (четыре) основных коммутатора,
3)	4 (четыре) пограничных маршрутизатора, 
4)	4 (четыре) виртуальных брандмауэра (Firewall, межсетевой экран) 
5)	4 (четыре) аппаратных брандмауэра (Firewall, межсетевой экран) 
6)	Централизованное управление 2 (двух) брандмауэров․
1.	Коммутатор управления։
Шасси։
Для установки в серверную стойку макс․ 1U / Physical Form Factor: no more 1 RU (Rack Unit)․
Порты и производительность։
Как минимум 48 x Gigabit Ethernet port  и как минимум 4 портов 1G SFP uplink port.
Мощность преобразования (Switching Capacity): как минимум 104 Gbps.  Поддержка стекирования (Stacking Support): at least 8 stack members. Пропускная способность стекирования: как минимум 80 Gbps (Stacking Bandwidth: at least 80 Gbps (Full Stack Bandwidth)).
Программное обеспечение и автоматизация։
Программное обеспечение и поддержка обновления (ISSU) / Поддержка In-Service Software Upgrade (ISSU) Support/ RESTful APIs  / Support for RESTful APIs NETCONF/YANG для автоматизации сети / NETCONF/YANG for network automation.
Оперативная память։
Память: как минимум 2 GB DRAM, Флэш-накопитель: ёмкостью как минимум 4 GB․
Маршрутизация (Routing):
Supported Routing Protocols
OSPF (Open Shortest Path First)․
EIGRP (Enhanced Interior Gateway Routing Protocol)․
Безопасность и мониторинг:
Обеспечение видимости и безопасности трафика / Traffic Visibility and Security: Full Flexible NetFlow, TrustSec Support․
Питание
Redundant Power Supply, поддержка FRU (Field-Replaceable Units Support)․ Соединительные кабели: Наличие кабелей электропитания для всех входов питания.
2.	Основной коммутатор
Шасси:
Для установки в серверную стойку макс․ 1U / Physical Form Factor: no more 1 RU (Rack Unit)․
Порты и преобразователи:
Порты Downlink (Downlink Ports): как минимум 48 x 100M/1/10/25-Gigabit Ethernet SFP28, из которых как минимум 24 порта должы быть активны.  Порты Uplink (Uplink Ports): как минимум 6 x 10/25/40/50/100-Gigabit Ethernet QSFP28.  Модули расширения (Expansion Modules): как минимум 24  x 10G SFP.  Наличие как минимум 1 USB порта.
Оптические кабели для подключения также должны быть включены.
Оперативная память (RAM): как минимум 16 GB.
Память: Как минимум 128 GB SSD Memory  and Storage.
Питание: Наличие как минимум 2 блоков питания 650W hot-swappable (650W Redundant Power Supply): Dual, hot-swappable for high availability, а также как минимум 4 шт. Fans for system airflow / Hot-swappable fan trays with front-to-back airflow․ Соединительные кабели: Наличие кабелей электропитания для всех входов питания.
Безопасность:
Поддержка MACsec (MACsec Support).	
Виртуализация и управление трафиком:
Number of VRF Instances: как минимум 16,000․
Maximum Port Channels: как минимум 512․
Maximum Links in a Port Channel: как минимум 32․
Maximum VLANs in Rapid Per-VLAN Spanning Tree (RPVST): как минимум 3,967․
Maximum Hot-Standby Router Protocol (HSRP) Groups: как минимум 490․
Поддержка технологии маршрутизации (Advanced Routing and Switching Capabilities)
BGP, EIGRP, OSPF, IS-IS
GRE, MSDP, PIM, SSM
VXLAN BGP EVPN
Поддержка Traffic Engineering 
PBR (Policy-Based Routing)
Segment Routing Support
Поддержка High Availability and Redundancy 
PTP (Precision Time Protocol) and SyncE Support
Dual, Hot-Swappable Power Supplies
Hot-Swappable Fan Trays
Поддержка технологий Automation and Programmability 
MLAG (vPC) Support
RESTful API Support
3.	Пограничный маршрутизатор (Роутер)  
Порты:
Наличие как минимум 12 x 1/10 Gigabit Ethernet SFP+ портов (12 x 1/10 Gigabit Ethernet SFP+ Ports)․
Наличие как минимум 4 x 10G SFP модулей расширения (Expansion Modules: 4 x 10G SFP)․
Оптические кабели также должны быть включены.
Оперативная память։
Как минимум 16 GB DRAM (Memory: 16 GB DRAM)
Память։
Как минимум 32 GB eUSB (Storage: 32 GB Eusb)
Питание։
Наличие как минимум 2 источников питания 750 В hot-swappable, Dual Redundant / Power Supply: 750W, Dual Redundant, Hot-Swappable Power Supplies․  Соединительные кабели: Наличие кабелей электропитания для всех входов питания.
Возможности։
Поддержка следующих технологий: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Управление трафиком и QoS։
Поддержка следующих технологий:
QoS (Quality of Service).
Class-Based Weighted Fair Queueing (CBWFQ).
Weighted Random Early Detection (WRED).
NBAR2 (Next-Generation Network-Based Application Recognition).
Application Visibility and Control (SD-AVC).
Мониторинг и анализ сети։
Поддержка следующих технологий:
NetFlow, Flexible NetFlow (FNF), IPFIX.
Performance Monitoring and Flexible Packet Matching (FPM).
Embedded Event Manager (EEM).
IP SLA (Service-Level Agreements).
Автоматизация и программирование։
Поддержка следующих технологий:
Easy Virtual Network (EVN), vRF-Lite, Multi-VRF, VRF Support.
GRE Tunnels, IPv6-over-IPv4 and IPv4-over-IPv6 Tunnels.
Web Cache Routing Protocol (WCCP).
4.	Виртуальный брандмауэр (Firewall, межсетевой экран) 
Поддержка Multi-Hypervisor 
VMware ESXi: 6.0, 6.5, 6.7, 7.0․
KVM, OpenStack, Nutanix AHV: AOS 5.20, AHV Version 20201105.2030․
Cisco Hyperflex: Data Platform 4.5.1a-39020․
Совместимость с облачной средой:
Azure: Version 6.5 and above․
AWS: Version 6.6 and above․
Cisco Hyperflex: Version 7.0 and above․
Nutanix AHV: Version 7.0 and above
Высокая доступность (High Availability - HA):
Наличие Stateful Firewall 
Поддержка Snort - Intrusion Prevention System (IPS)
Поддержка Reputation-Based Blocking – Dynamically blocks known malicious entities. 
Поддержка Automated Threat Response (ATR) – Real-time threat containment and mitigation. 
Поддержка Automated Threat Intelligence Support – Updates with the latest threat feeds. 
Поддержка Customizable Threat.
Пропускная способность брандмауэра (Firewall Throughput): Как минимум 15 Gbps.
Как минимум 2,000,000 одновременных сеансов (Concurrent Sessions).
Как минимум 130,000 новых подключений за секунду. (New Connections per Second: 130,000 or more)․
Как минимум 10,000 VPN Peers. 
Протоколы маршрутизации (Supported Routing Protocols):
OSPF (Open Shortest Path First)․
EIGRP (Enhanced Interior Gateway Routing Protocol)․
BGP (Border Gateway Protocol)․
Централизованное управление и мониторинг:
Виртуальные аппараты брандмауэра (Виртуальный Firewall) должны иметь поддержку централизованного управления и мониторинга. / Security and Network Management/ •Centralized Configuration and Logging •Real-Time Monitoring and Reporting
5.	Аппаратный брандмауэр
Шасси:
Для установки в серверную стойку макс․ 1U / Physical Form Factor: no more 1 RU (Rack Unit)․
Безопасность и защита от угроз (Security and Threat Protection):
Next-Generation Firewall (NGFW) Capabilities:
Application Visibility and Control (AVC)
Encrypted Visibility Engine (EVE)
Intrusion Prevention System (IPS)
Advanced Malware Protection (AMP)
Порты и модули:
Наличие как минимум 8 портов подключения  1GBASE-T RJ45 (At least  8 x 1GBASE-T RJ45 ports for copper connectivity).
Наличие как минимум 8 x 10G SFP+ оптических портов подключения.
Наличие как минимум 1 порта управления 10G SFP (At least  1 x 1/10G SFP dedicated management port).
Наличие как минимум 4 модулей  10G SFP - Обеспечивание высокоскоростного подключения для роста сети / Аt least 4 x 10G SFP Modules – Provides high-speed connectivity for network growth. 
Оптические кабели должны быть включены.
Защита:
Система должна иметь защиту от вредоносного и нежелательного веб-контента и обширную базу данных по анализу угроз. URL Filtering: Protects against malicious and unwanted web content.Includes an extensive threat intelligence database. 
Система должна предоставлять обновления в режиме реального времени для снижения угроз. Automated Threat Intelligence – Provides real-time updates for threat mitigation. 
Протоколы маршрутизации:
Supported Routing Protocols:
OSPF (Open Shortest Path First)․
EIGRP (Enhanced Interior Gateway Routing Protocol)․
BGP (Border Gateway Protocol)․
Пропускная способность брандмауэра (Firewall Throughput) - как минимум 10 Gbps․ 
Максимальное количество одновременных сеансов с поддержкой AVC (Maximum Concurrent Sessions -AVC Enabled)։ как минимум 1,5 миллиона․  TLS Inspection Throughput: как минимум 3.2 Gbps.
Firewall + AVC + IPS Throughput: как минимум 10 Gbps.
Next-Gen IPS (NGIPS) Throughput: как минимум 10 Gbps.
IPSec VPN Throughput: как минимум  5.5 Gbps. VPN Peers как минимум 2,000.
Максимальное количество новых подключений с поддержкой AVC (Maximum New Connections per Second - AVC Enabled): 90,000.
Хранилище (память) и расширяемость:
Storage and Expandability
Как миниимум 900GB SSD for threat logs, signatures, and configurations.
USB 3.0 Type A (900 mA) port – как минимум 1 шт.
Network Module Slot – как минимум 1 шт.
Питание:
Блоки питания 400W.
Соединительные кабели: Наличие кабелей электропитания для всех входов питания.
Охлаждение:
Система охлаждения: Наличие как минимум 2 модулей Hot-Swappable Fan, которые обеспечат эффективный поток воздуха и охлаждение системы. Cooling System: 2 Hot-Swappable Fan Modules – Provides efficient airflow and system cooling.
Управлиение։
Системы аппаратных брандмауэров должны иметь поддержку централизованного управления (Support for Centralized Management).
6.	 Централизованное управление брандмауэров.
Безопасность и отчетность:
Analytics and Reporting
Customizable Reports.
Intrusion Prevention System (IPS) Event Capacity: Up to 10,000,000 events.
Network Map Size: Supports up to 50,000 hosts/users.
Event Storage Capacity: 250 GB.
Безопасность и автоматизация:
Automated Threat Response (ATR) resilience.
Поддержка (Support):
Поддержка Centralized Configuration and Logging.
Поддержка Comprehensive Network Visibility.
Поддержка управления как минимум 10 брандмауэров (Manageable Devices: Up to 10 firewalls․)
Лицензии должны обеспечивать централизованное управление и контроль / Centralized Management and Control․
Гарантия: Как минимум 5-летняя техническая поддержкa 
*Все предлагаемое оборудование для каждой дозы должно быть от одного производителя, и поставщик должен гарантировать, что производитель предоставляет техническую поддержку по принципу «одного окна».
** Поставщик должен гарантировать, что монтаж и ввод в эксплуатацию оборудования выполняются специалистом, имеющим лицензию производителя.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Агаронян 12/3 (50% продукта, в зависимости от количества)  и  г.  Дилижан, Парз Лич 5 (50% продукта, в зависимости от количества)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и наладка продукции осуществляются в течение 120 календарных дней со дня, следующего за днем вступления договора в силу, при наличии на эти цели соответствующих финансовых ресурсов и заключении сторонами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ՖՆ-ԷԱՃԱՊՁԲ-25/2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